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24. oktobrī (prot. Nr. 53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6. jūlija noteikumos Nr. 467 "Valsts atbalsta piešķiršanas kārtība apdrošinātājam sausuma radīto zaudējumu atlīdzības izmaksu daļējai kompensēšanai"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w:t>
      </w:r>
      <w:r>
        <w:br/>
      </w:r>
      <w:r w:rsidR="00000000" w:rsidRPr="00000000" w:rsidDel="00000000">
        <w:rPr>
          <w:rStyle w:val="paragraph"/>
          <w:i w:val="1"/>
          <w:rtl w:val="0"/>
        </w:rPr>
        <w:t xml:space="preserve">likuma</w:t>
      </w:r>
      <w:r w:rsidR="00000000" w:rsidRPr="00000000" w:rsidDel="00000000">
        <w:rPr>
          <w:rStyle w:val="paragraph"/>
          <w:i w:val="1"/>
          <w:rtl w:val="0"/>
        </w:rPr>
        <w:t xml:space="preserve"> 5. 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6. jūlija noteikumos Nr. 467 "Valsts atbalsta piešķiršanas kārtība apdrošinātājam sausuma radīto zaudējumu atlīdzības izmaksu daļējai kompensēšanai" (Latvijas Vēstnesis, 2021,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gala labuma guvējs ir uzskatāms par nonākušu grūtībās atbilstoši Komisijas 2022. gada 14. decembra Regulas (ES)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Komisijas regula 2022/2472), 2. panta 59.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lielie uzņēmumi, kas atbilst Komisijas regulas 2022/2472 2. panta 34. punktā noteiktajai definīcijai, – iespējamo apdrošinātāja darbību aprakstu situācijā, ja netiek piešķirts atbalsts (3. pielikums), un dokumentārus pierādījumus, kas apliecina atbalsta stimulējošo ietekmi."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Ja kompensācijas apmērs pārsniedz 10 000 </w:t>
      </w:r>
      <w:r w:rsidR="00000000" w:rsidRPr="00000000" w:rsidDel="00000000">
        <w:rPr>
          <w:i w:val="1"/>
          <w:rtl w:val="0"/>
        </w:rPr>
        <w:t xml:space="preserve">euro</w:t>
      </w:r>
      <w:r w:rsidR="00000000" w:rsidRPr="00000000" w:rsidDel="00000000">
        <w:rPr>
          <w:rtl w:val="0"/>
        </w:rPr>
        <w:t xml:space="preserve">, Lauku atbalsta dienests publicē apdrošinātāja nosaukumu un adresi, kompensācijas apmēru, piešķiršanas datumu, nozari un saimnieciskās darbības veicēja veidu atbilstoši normatīvajiem aktiem par kārtību, kādā publicē informāciju par sniegto komercdarbības atbalstu un piešķir un anulē elektroniskās sistēmas lietošanas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pārkāptas šajos noteikumos minētās prasības, Lauku atbalsta dienests uzliek par pienākumu atbalsta saņēmējam atmaksāt Lauku atbalsta dienestam saņemto nelikumīgo valsts atbalstu. Atbalsta summu atmaksā kopā ar procentiem no līdzekļiem, kas ir brīvi no valsts atbalsta, saskaņā ar Komercdarbības atbalsta kontroles likuma IV vai V nodaļu."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23-TA-1798</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23-TA-1798</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noteikumu_(grozījumu)_projekts_23-TA-1798.docx</dc:title>
</cp:coreProperties>
</file>

<file path=docProps/custom.xml><?xml version="1.0" encoding="utf-8"?>
<Properties xmlns="http://schemas.openxmlformats.org/officeDocument/2006/custom-properties" xmlns:vt="http://schemas.openxmlformats.org/officeDocument/2006/docPropsVTypes"/>
</file>