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Aizsardzības ministrijas uz Satiksmes ministrijas budžeta apakšprogrammu 2025. gadā kompetentās </w:t>
      </w:r>
      <w:r w:rsidR="00000000" w:rsidRPr="00000000" w:rsidDel="00000000">
        <w:rPr>
          <w:rStyle w:val="paragraph_header"/>
          <w:b w:val="1"/>
          <w:i w:val="1"/>
          <w:rtl w:val="0"/>
        </w:rPr>
        <w:t xml:space="preserve">GOVSATCOM </w:t>
      </w:r>
      <w:r w:rsidR="00000000" w:rsidRPr="00000000" w:rsidDel="00000000">
        <w:rPr>
          <w:rStyle w:val="paragraph_header"/>
          <w:b w:val="1"/>
          <w:rtl w:val="0"/>
        </w:rPr>
        <w:t xml:space="preserve">iestādes un par drošu savienojamību atbildīgās kompetentās iestādes darbības nodrošināšanai kā vienreizēju maksājumu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kompetentās </w:t>
      </w:r>
      <w:r w:rsidR="00000000" w:rsidRPr="00000000" w:rsidDel="00000000">
        <w:rPr>
          <w:i w:val="1"/>
          <w:rtl w:val="0"/>
        </w:rPr>
        <w:t xml:space="preserve">GOVSATCOM </w:t>
      </w:r>
      <w:r w:rsidR="00000000" w:rsidRPr="00000000" w:rsidDel="00000000">
        <w:rPr>
          <w:rtl w:val="0"/>
        </w:rPr>
        <w:t xml:space="preserve">iestādes un par drošu savienojamību atbildīgās kompetentās iestādes vienreizējos ieguldījumus darbības nodrošināšanai, atļaut Aizsardzības ministrijai no valsts budžeta apakšprogrammas 22.12.00 "Nacionālo bruņoto spēku uzturēšana" piešķirt finansējumu 2025.gadā 242 000 euro kā transfertu uz Satiksmes ministrijas budžeta apakšprogrammu 04.03.00. “Datu apmaiņas platformu, apraides sistēmu un informācijas sistēmu uzturēšana, monitorings un attīstība”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un Satiksmes ministrijai normatīvajos aktos noteiktajā kārtībā saskaņot savstarpējos transfertus un iesniegt Finanšu ministrijā priekšlikumus apropriācijas izmaiņām 2025.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Satiksmes ministriju par atbildīgo institūciju par piešķirto finanšu līdzekļu izlietojuma uzraudzību un par grāmatvedības datu pareizību, nodrošinot līdzekļu izmantošanu atbilstoši šā rīkojuma 1. punktā noteiktajam mērķim.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25-TA-2438</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25-TA-2438</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rīkojuma_projekts_25-TA-2438.docx</dc:title>
</cp:coreProperties>
</file>

<file path=docProps/custom.xml><?xml version="1.0" encoding="utf-8"?>
<Properties xmlns="http://schemas.openxmlformats.org/officeDocument/2006/custom-properties" xmlns:vt="http://schemas.openxmlformats.org/officeDocument/2006/docPropsVTypes"/>
</file>