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172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12. martā (prot. Nr. 11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22. jūlija noteikumos Nr. 421 "Medību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Medību likuma</w:t>
      </w:r>
      <w:r w:rsidR="00000000" w:rsidRPr="00000000" w:rsidDel="00000000">
        <w:rPr>
          <w:rStyle w:val="paragraph"/>
          <w:i w:val="1"/>
          <w:rtl w:val="0"/>
        </w:rPr>
        <w:t xml:space="preserve"> 3. panta ceturto un piekto daļu, 5. panta otro daļu,</w:t>
      </w:r>
      <w:r>
        <w:br/>
      </w:r>
      <w:r w:rsidR="00000000" w:rsidRPr="00000000" w:rsidDel="00000000">
        <w:rPr>
          <w:rStyle w:val="paragraph"/>
          <w:i w:val="1"/>
          <w:rtl w:val="0"/>
        </w:rPr>
        <w:t xml:space="preserve">8. pantu, 10. panta otro daļu, 13. panta otro un trešo daļu, 17. panta otrās daļas 1. un 2. punktu,</w:t>
      </w:r>
      <w:r>
        <w:br/>
      </w:r>
      <w:r w:rsidR="00000000" w:rsidRPr="00000000" w:rsidDel="00000000">
        <w:rPr>
          <w:rStyle w:val="paragraph"/>
          <w:i w:val="1"/>
          <w:rtl w:val="0"/>
        </w:rPr>
        <w:t xml:space="preserve">18. pantu, 22. panta pirmo daļu, 23. panta otro daļu, 26. pantu un 29. panta septītās daļas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22. jūlija noteikumos Nr. 421 "Medību noteikumi" (Latvijas Vēstnesis, 2014, 150. nr.; 2016, 174. nr.; 2019, 256. nr.; 2021, 204. nr.; 2022, 75.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 mežirbes (</w:t>
      </w:r>
      <w:r w:rsidR="00000000" w:rsidRPr="00000000" w:rsidDel="00000000">
        <w:rPr>
          <w:i w:val="1"/>
          <w:rtl w:val="0"/>
        </w:rPr>
        <w:t xml:space="preserve">Bonasia bonasia</w:t>
      </w:r>
      <w:r w:rsidR="00000000" w:rsidRPr="00000000" w:rsidDel="00000000">
        <w:rPr>
          <w:rtl w:val="0"/>
        </w:rPr>
        <w:t xml:space="preserve">) – no 1. septembra līdz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3.2.5.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"3.2.9. slokas (</w:t>
      </w:r>
      <w:r w:rsidR="00000000" w:rsidRPr="00000000" w:rsidDel="00000000">
        <w:rPr>
          <w:i w:val="1"/>
          <w:rtl w:val="0"/>
        </w:rPr>
        <w:t xml:space="preserve">Scolopax rusticola</w:t>
      </w:r>
      <w:r w:rsidR="00000000" w:rsidRPr="00000000" w:rsidDel="00000000">
        <w:rPr>
          <w:rtl w:val="0"/>
        </w:rPr>
        <w:t xml:space="preserve">) – no 1. septembra līdz 15.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"3.2.11. sējas zosis (</w:t>
      </w:r>
      <w:r w:rsidR="00000000" w:rsidRPr="00000000" w:rsidDel="00000000">
        <w:rPr>
          <w:i w:val="1"/>
          <w:rtl w:val="0"/>
        </w:rPr>
        <w:t xml:space="preserve">Anser fabalis rossicus</w:t>
      </w:r>
      <w:r w:rsidR="00000000" w:rsidRPr="00000000" w:rsidDel="00000000">
        <w:rPr>
          <w:rtl w:val="0"/>
        </w:rPr>
        <w:t xml:space="preserve">), baltpieres zosis (</w:t>
      </w:r>
      <w:r w:rsidR="00000000" w:rsidRPr="00000000" w:rsidDel="00000000">
        <w:rPr>
          <w:i w:val="1"/>
          <w:rtl w:val="0"/>
        </w:rPr>
        <w:t xml:space="preserve">Anser albifrons</w:t>
      </w:r>
      <w:r w:rsidR="00000000" w:rsidRPr="00000000" w:rsidDel="00000000">
        <w:rPr>
          <w:rtl w:val="0"/>
        </w:rPr>
        <w:t xml:space="preserve">), Kanādas zosis (</w:t>
      </w:r>
      <w:r w:rsidR="00000000" w:rsidRPr="00000000" w:rsidDel="00000000">
        <w:rPr>
          <w:i w:val="1"/>
          <w:rtl w:val="0"/>
        </w:rPr>
        <w:t xml:space="preserve">Branta canadensis</w:t>
      </w:r>
      <w:r w:rsidR="00000000" w:rsidRPr="00000000" w:rsidDel="00000000">
        <w:rPr>
          <w:rtl w:val="0"/>
        </w:rPr>
        <w:t xml:space="preserve">), garkakļi (</w:t>
      </w:r>
      <w:r w:rsidR="00000000" w:rsidRPr="00000000" w:rsidDel="00000000">
        <w:rPr>
          <w:i w:val="1"/>
          <w:rtl w:val="0"/>
        </w:rPr>
        <w:t xml:space="preserve">Anas acuta</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platknābji (</w:t>
      </w:r>
      <w:r w:rsidR="00000000" w:rsidRPr="00000000" w:rsidDel="00000000">
        <w:rPr>
          <w:i w:val="1"/>
          <w:rtl w:val="0"/>
        </w:rPr>
        <w:t xml:space="preserve">Anas clypeata</w:t>
      </w:r>
      <w:r w:rsidR="00000000" w:rsidRPr="00000000" w:rsidDel="00000000">
        <w:rPr>
          <w:rtl w:val="0"/>
        </w:rPr>
        <w:t xml:space="preserve">), baltvēderi (</w:t>
      </w:r>
      <w:r w:rsidR="00000000" w:rsidRPr="00000000" w:rsidDel="00000000">
        <w:rPr>
          <w:i w:val="1"/>
          <w:rtl w:val="0"/>
        </w:rPr>
        <w:t xml:space="preserve">Anas penelope</w:t>
      </w:r>
      <w:r w:rsidR="00000000" w:rsidRPr="00000000" w:rsidDel="00000000">
        <w:rPr>
          <w:rtl w:val="0"/>
        </w:rPr>
        <w:t xml:space="preserve">) – no 15. septembra līdz 30. novembrim;";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"3.2.12. meža zosis (</w:t>
      </w:r>
      <w:r w:rsidR="00000000" w:rsidRPr="00000000" w:rsidDel="00000000">
        <w:rPr>
          <w:i w:val="1"/>
          <w:rtl w:val="0"/>
        </w:rPr>
        <w:t xml:space="preserve">Anser anser</w:t>
      </w:r>
      <w:r w:rsidR="00000000" w:rsidRPr="00000000" w:rsidDel="00000000">
        <w:rPr>
          <w:rtl w:val="0"/>
        </w:rPr>
        <w:t xml:space="preserve">), lauči (</w:t>
      </w:r>
      <w:r w:rsidR="00000000" w:rsidRPr="00000000" w:rsidDel="00000000">
        <w:rPr>
          <w:i w:val="1"/>
          <w:rtl w:val="0"/>
        </w:rPr>
        <w:t xml:space="preserve">Fulica atra</w:t>
      </w:r>
      <w:r w:rsidR="00000000" w:rsidRPr="00000000" w:rsidDel="00000000">
        <w:rPr>
          <w:rtl w:val="0"/>
        </w:rPr>
        <w:t xml:space="preserve">), krīkļi (</w:t>
      </w:r>
      <w:r w:rsidR="00000000" w:rsidRPr="00000000" w:rsidDel="00000000">
        <w:rPr>
          <w:i w:val="1"/>
          <w:rtl w:val="0"/>
        </w:rPr>
        <w:t xml:space="preserve">Anas crecca</w:t>
      </w:r>
      <w:r w:rsidR="00000000" w:rsidRPr="00000000" w:rsidDel="00000000">
        <w:rPr>
          <w:rtl w:val="0"/>
        </w:rPr>
        <w:t xml:space="preserve">), pelēkās pīles (</w:t>
      </w:r>
      <w:r w:rsidR="00000000" w:rsidRPr="00000000" w:rsidDel="00000000">
        <w:rPr>
          <w:i w:val="1"/>
          <w:rtl w:val="0"/>
        </w:rPr>
        <w:t xml:space="preserve">Anas strepera</w:t>
      </w:r>
      <w:r w:rsidR="00000000" w:rsidRPr="00000000" w:rsidDel="00000000">
        <w:rPr>
          <w:rtl w:val="0"/>
        </w:rPr>
        <w:t xml:space="preserve">), meža pīles (</w:t>
      </w:r>
      <w:r w:rsidR="00000000" w:rsidRPr="00000000" w:rsidDel="00000000">
        <w:rPr>
          <w:i w:val="1"/>
          <w:rtl w:val="0"/>
        </w:rPr>
        <w:t xml:space="preserve">Anas platyrhynchos</w:t>
      </w:r>
      <w:r w:rsidR="00000000" w:rsidRPr="00000000" w:rsidDel="00000000">
        <w:rPr>
          <w:rtl w:val="0"/>
        </w:rPr>
        <w:t xml:space="preserve">), prīkšķes (</w:t>
      </w:r>
      <w:r w:rsidR="00000000" w:rsidRPr="00000000" w:rsidDel="00000000">
        <w:rPr>
          <w:i w:val="1"/>
          <w:rtl w:val="0"/>
        </w:rPr>
        <w:t xml:space="preserve">Anas querquedula</w:t>
      </w:r>
      <w:r w:rsidR="00000000" w:rsidRPr="00000000" w:rsidDel="00000000">
        <w:rPr>
          <w:rtl w:val="0"/>
        </w:rPr>
        <w:t xml:space="preserve">), cekulpīles (</w:t>
      </w:r>
      <w:r w:rsidR="00000000" w:rsidRPr="00000000" w:rsidDel="00000000">
        <w:rPr>
          <w:i w:val="1"/>
          <w:rtl w:val="0"/>
        </w:rPr>
        <w:t xml:space="preserve">Aythya fuligula</w:t>
      </w:r>
      <w:r w:rsidR="00000000" w:rsidRPr="00000000" w:rsidDel="00000000">
        <w:rPr>
          <w:rtl w:val="0"/>
        </w:rPr>
        <w:t xml:space="preserve">), ķerras (</w:t>
      </w:r>
      <w:r w:rsidR="00000000" w:rsidRPr="00000000" w:rsidDel="00000000">
        <w:rPr>
          <w:i w:val="1"/>
          <w:rtl w:val="0"/>
        </w:rPr>
        <w:t xml:space="preserve">Aythya marila</w:t>
      </w:r>
      <w:r w:rsidR="00000000" w:rsidRPr="00000000" w:rsidDel="00000000">
        <w:rPr>
          <w:rtl w:val="0"/>
        </w:rPr>
        <w:t xml:space="preserve">), melnās pīles (</w:t>
      </w:r>
      <w:r w:rsidR="00000000" w:rsidRPr="00000000" w:rsidDel="00000000">
        <w:rPr>
          <w:i w:val="1"/>
          <w:rtl w:val="0"/>
        </w:rPr>
        <w:t xml:space="preserve">Melanitta nigra</w:t>
      </w:r>
      <w:r w:rsidR="00000000" w:rsidRPr="00000000" w:rsidDel="00000000">
        <w:rPr>
          <w:rtl w:val="0"/>
        </w:rPr>
        <w:t xml:space="preserve">), gaigalas (</w:t>
      </w:r>
      <w:r w:rsidR="00000000" w:rsidRPr="00000000" w:rsidDel="00000000">
        <w:rPr>
          <w:i w:val="1"/>
          <w:rtl w:val="0"/>
        </w:rPr>
        <w:t xml:space="preserve">Bucephala clangula</w:t>
      </w:r>
      <w:r w:rsidR="00000000" w:rsidRPr="00000000" w:rsidDel="00000000">
        <w:rPr>
          <w:rtl w:val="0"/>
        </w:rPr>
        <w:t xml:space="preserve">) – no 20. augusta līdz 14. septembrim trešdienā, sestdienā un svētdienā, bet no 15. septembra līdz 15. decembrim – katru dienu;";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3.2.15.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"3.2.15. Latvijas faunai neraksturīgo vai invazīvo sugu dzīvnieki – Amerikas ūdeles (</w:t>
      </w:r>
      <w:r w:rsidR="00000000" w:rsidRPr="00000000" w:rsidDel="00000000">
        <w:rPr>
          <w:i w:val="1"/>
          <w:rtl w:val="0"/>
        </w:rPr>
        <w:t xml:space="preserve">Mustela vison</w:t>
      </w:r>
      <w:r w:rsidR="00000000" w:rsidRPr="00000000" w:rsidDel="00000000">
        <w:rPr>
          <w:rtl w:val="0"/>
        </w:rPr>
        <w:t xml:space="preserve">), jenotsuņi (</w:t>
      </w:r>
      <w:r w:rsidR="00000000" w:rsidRPr="00000000" w:rsidDel="00000000">
        <w:rPr>
          <w:i w:val="1"/>
          <w:rtl w:val="0"/>
        </w:rPr>
        <w:t xml:space="preserve">Nyctereutes procyonoides</w:t>
      </w:r>
      <w:r w:rsidR="00000000" w:rsidRPr="00000000" w:rsidDel="00000000">
        <w:rPr>
          <w:rtl w:val="0"/>
        </w:rPr>
        <w:t xml:space="preserve">), dambrieži (</w:t>
      </w:r>
      <w:r w:rsidR="00000000" w:rsidRPr="00000000" w:rsidDel="00000000">
        <w:rPr>
          <w:i w:val="1"/>
          <w:rtl w:val="0"/>
        </w:rPr>
        <w:t xml:space="preserve">Dama dama</w:t>
      </w:r>
      <w:r w:rsidR="00000000" w:rsidRPr="00000000" w:rsidDel="00000000">
        <w:rPr>
          <w:rtl w:val="0"/>
        </w:rPr>
        <w:t xml:space="preserve">), mufloni (</w:t>
      </w:r>
      <w:r w:rsidR="00000000" w:rsidRPr="00000000" w:rsidDel="00000000">
        <w:rPr>
          <w:i w:val="1"/>
          <w:rtl w:val="0"/>
        </w:rPr>
        <w:t xml:space="preserve">Ovis orientalis</w:t>
      </w:r>
      <w:r w:rsidR="00000000" w:rsidRPr="00000000" w:rsidDel="00000000">
        <w:rPr>
          <w:rtl w:val="0"/>
        </w:rPr>
        <w:t xml:space="preserve">), Sika brieži (</w:t>
      </w:r>
      <w:r w:rsidR="00000000" w:rsidRPr="00000000" w:rsidDel="00000000">
        <w:rPr>
          <w:i w:val="1"/>
          <w:rtl w:val="0"/>
        </w:rPr>
        <w:t xml:space="preserve">Cervus nippon</w:t>
      </w:r>
      <w:r w:rsidR="00000000" w:rsidRPr="00000000" w:rsidDel="00000000">
        <w:rPr>
          <w:rtl w:val="0"/>
        </w:rPr>
        <w:t xml:space="preserve">), jenoti (</w:t>
      </w:r>
      <w:r w:rsidR="00000000" w:rsidRPr="00000000" w:rsidDel="00000000">
        <w:rPr>
          <w:i w:val="1"/>
          <w:rtl w:val="0"/>
        </w:rPr>
        <w:t xml:space="preserve">Procyon lotor</w:t>
      </w:r>
      <w:r w:rsidR="00000000" w:rsidRPr="00000000" w:rsidDel="00000000">
        <w:rPr>
          <w:rtl w:val="0"/>
        </w:rPr>
        <w:t xml:space="preserve">), nutrijas (</w:t>
      </w:r>
      <w:r w:rsidR="00000000" w:rsidRPr="00000000" w:rsidDel="00000000">
        <w:rPr>
          <w:i w:val="1"/>
          <w:rtl w:val="0"/>
        </w:rPr>
        <w:t xml:space="preserve">Myocastor coypus Molina</w:t>
      </w:r>
      <w:r w:rsidR="00000000" w:rsidRPr="00000000" w:rsidDel="00000000">
        <w:rPr>
          <w:rtl w:val="0"/>
        </w:rPr>
        <w:t xml:space="preserve">), baibaki (</w:t>
      </w:r>
      <w:r w:rsidR="00000000" w:rsidRPr="00000000" w:rsidDel="00000000">
        <w:rPr>
          <w:i w:val="1"/>
          <w:rtl w:val="0"/>
        </w:rPr>
        <w:t xml:space="preserve">Marmota bobak</w:t>
      </w:r>
      <w:r w:rsidR="00000000" w:rsidRPr="00000000" w:rsidDel="00000000">
        <w:rPr>
          <w:rtl w:val="0"/>
        </w:rPr>
        <w:t xml:space="preserve">) – visu gadu, bet zeltainie šakāļi (</w:t>
      </w:r>
      <w:r w:rsidR="00000000" w:rsidRPr="00000000" w:rsidDel="00000000">
        <w:rPr>
          <w:i w:val="1"/>
          <w:rtl w:val="0"/>
        </w:rPr>
        <w:t xml:space="preserve">Canis aureus</w:t>
      </w:r>
      <w:r w:rsidR="00000000" w:rsidRPr="00000000" w:rsidDel="00000000">
        <w:rPr>
          <w:rtl w:val="0"/>
        </w:rPr>
        <w:t xml:space="preserve">) – no 15. jūlija līdz 31. martam;";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Šajos noteikumos un medības reglamentējošos normatīvajos aktos noteiktajā kārtībā zīdītāju medīšana ārpus noteiktajiem medību termiņiem pieļaujama, ja tas nepieciešams postījumu novēršanai, kā arī sabiedrības drošības un interešu aizsardzībai. Vilka (</w:t>
      </w:r>
      <w:r w:rsidR="00000000" w:rsidRPr="00000000" w:rsidDel="00000000">
        <w:rPr>
          <w:i w:val="1"/>
          <w:rtl w:val="0"/>
        </w:rPr>
        <w:t xml:space="preserve">Canis lupus</w:t>
      </w:r>
      <w:r w:rsidR="00000000" w:rsidRPr="00000000" w:rsidDel="00000000">
        <w:rPr>
          <w:rtl w:val="0"/>
        </w:rPr>
        <w:t xml:space="preserve">), bebra (</w:t>
      </w:r>
      <w:r w:rsidR="00000000" w:rsidRPr="00000000" w:rsidDel="00000000">
        <w:rPr>
          <w:i w:val="1"/>
          <w:rtl w:val="0"/>
        </w:rPr>
        <w:t xml:space="preserve">Castor fiber</w:t>
      </w:r>
      <w:r w:rsidR="00000000" w:rsidRPr="00000000" w:rsidDel="00000000">
        <w:rPr>
          <w:rtl w:val="0"/>
        </w:rPr>
        <w:t xml:space="preserve">), meža caunas (</w:t>
      </w:r>
      <w:r w:rsidR="00000000" w:rsidRPr="00000000" w:rsidDel="00000000">
        <w:rPr>
          <w:i w:val="1"/>
          <w:rtl w:val="0"/>
        </w:rPr>
        <w:t xml:space="preserve">Martes martes</w:t>
      </w:r>
      <w:r w:rsidR="00000000" w:rsidRPr="00000000" w:rsidDel="00000000">
        <w:rPr>
          <w:rtl w:val="0"/>
        </w:rPr>
        <w:t xml:space="preserve">), seska (</w:t>
      </w:r>
      <w:r w:rsidR="00000000" w:rsidRPr="00000000" w:rsidDel="00000000">
        <w:rPr>
          <w:i w:val="1"/>
          <w:rtl w:val="0"/>
        </w:rPr>
        <w:t xml:space="preserve">Mustela putorius</w:t>
      </w:r>
      <w:r w:rsidR="00000000" w:rsidRPr="00000000" w:rsidDel="00000000">
        <w:rPr>
          <w:rtl w:val="0"/>
        </w:rPr>
        <w:t xml:space="preserve">), baltā zaķa (</w:t>
      </w:r>
      <w:r w:rsidR="00000000" w:rsidRPr="00000000" w:rsidDel="00000000">
        <w:rPr>
          <w:i w:val="1"/>
          <w:rtl w:val="0"/>
        </w:rPr>
        <w:t xml:space="preserve">Lepus timidus</w:t>
      </w:r>
      <w:r w:rsidR="00000000" w:rsidRPr="00000000" w:rsidDel="00000000">
        <w:rPr>
          <w:rtl w:val="0"/>
        </w:rPr>
        <w:t xml:space="preserve">) un zeltainā šakāļa (</w:t>
      </w:r>
      <w:r w:rsidR="00000000" w:rsidRPr="00000000" w:rsidDel="00000000">
        <w:rPr>
          <w:i w:val="1"/>
          <w:rtl w:val="0"/>
        </w:rPr>
        <w:t xml:space="preserve">Canis aureus</w:t>
      </w:r>
      <w:r w:rsidR="00000000" w:rsidRPr="00000000" w:rsidDel="00000000">
        <w:rPr>
          <w:rtl w:val="0"/>
        </w:rPr>
        <w:t xml:space="preserve">) medīšana ārpus noteiktajiem medību termiņiem pieļaujama tikai tad, ja nav apmierinošas alternatīvas un netiek kaitēts attiecīgās sugas populācijas saglabāšanai labvēlīgā aizsardzības statusā tās dabiskās izplatības areālā.";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Publiskajos ūdeņos vienā medību dienā vienam medniekam atļauts nomedīt ne vairāk kā 10 šo noteikumu 3.2.11. un 3.2.12. apakšpunktā minēto sugu ūdensputnu.";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ziņas par personām, kas slēdz līgumu (fiziskai personai – vārdu, uzvārdu, personas kodu, juridiskai personai – nosaukumu, reģistrācijas numuru, juridisko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līguma priekšmetu – medību tiesības konkrētajā zemes vienībā vai tās daļā esošajās medību platībās, norādot zemes vienības kadastra apzīmējumu;";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"14.4. līguma darbības termiņu gados;";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14.5.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"14.5. līguma izbeigšanas (laušanas)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Lai reģistrētu medību iecirkni vai izdarītu grozījumus informācijā par jau reģistrētu medību iecirkni saistībā ar jauna medību līguma reģistrāciju, medību tiesību īpašnieks vai persona, kas medību tiesības ieguvusi, pamatojoties uz medību līgumu, tiešsaistē Meža valsts reģistrā iesniedz iesniegumu un šādus medību tiesības apliecinošus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attiecīgā īpašuma tiesisko valdījumu apliecinoša dokumenta elektroniski apliecinātu kopiju, ja medību tiesības izmanto tiesiskais valdītājs;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elektroniski parakstītu medību līgumu vai tā elektroniski apliecinātu kopiju, ja medību tiesības izmanto persona, kurai tās nodotas uz medību līguma pamata;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pilnvaras elektroniski apliecinātu kopiju, ja medību līgums noslēgts, pamatojoties uz pilnvarojumu;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elektroniski parakstītu līgumu par kopīgu medību tiesību izlietojumu vai tā elektroniski apliecinātu kopiju, ja medību tiesības izmanto medību tiesību īpašnieki.";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Lai izdarītu grozījumus informācijā par jau reģistrētu medību iecirkni saistībā ar grozījumiem spēkā esošā medību līgumā, medību tiesību īpašnieks vai persona, kas medību tiesības ieguvusi, pamatojoties uz medību līgumu, tiešsaistē Meža valsts reģistrā iesniedz iesniegumu un elektroniski parakstītu medību līgumu vai tā elektroniski apliecinātu kopiju, ja līgums parakstīts papīra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Valsts meža dienests pēc šo noteikumu 16. un 16.</w:t>
      </w:r>
      <w:r w:rsidR="00000000" w:rsidRPr="00000000" w:rsidDel="00000000">
        <w:rPr>
          <w:vertAlign w:val="superscript"/>
          <w:rtl w:val="0"/>
        </w:rPr>
        <w:t xml:space="preserve">1</w:t>
      </w:r>
      <w:r w:rsidR="00000000" w:rsidRPr="00000000" w:rsidDel="00000000">
        <w:rPr>
          <w:rtl w:val="0"/>
        </w:rPr>
        <w:t xml:space="preserve"> punktā minētā iesnieguma un tam pievienoto dokumentu saņemšanas mēneša laikā pieņem vienu no šādiem lēmumiem: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par medību iecirkņa reģistrēšanu vai atteikumu reģistrēt medību iecirkni;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par grozījumu reģistrēšanu informācijā par jau esošu medību iecirkni vai atteikumu reģistrēt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papildināt ar 19.5.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"19.5. iesniegtajos dokumentos tiek konstatēta kļūdaina vai pretrunīga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Valsts meža dienests pēc savas iniciatīvas vai iesnieguma saņemšanas pieņem lēmumu par zemes vienības vai tās daļas izslēgšanu no medību iecirkņa,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spēkā stājies tiesas spriedums, no kura izriet, ka zemes vienība vai tās daļa ir izslēdzama no medību iecirkņa;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 medību līgumā minētā zemes vienība vai tās daļa vairs neveido medību iecirkni kā vienlaidu platību;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20.3. beidzies medību līguma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20.4. Valsts meža dienests saņēmis medību tiesību īpašnieka, tā pilnvarotas personas vai medību tiesību lietotāja iesniegumu un tam pievienotus rakstveida pierādījumus (elektroniski parakstītu oriģinālu vai elektroniski apliecinātu kopiju), kas apliecina, ka medību līgums izbeigts, ievērojot līgumā vai Civillikumā noteikto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Iesniegumu par zemes vienības vai tās daļas izslēgšanu no medību iecirkņa Valsts meža dienestā iesniedz strukturētu datu veidā tiešsaistē Meža valsts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svītrot 21.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6</w:t>
      </w:r>
      <w:r w:rsidR="00000000" w:rsidRPr="00000000" w:rsidDel="00000000">
        <w:rPr>
          <w:rtl w:val="0"/>
        </w:rPr>
        <w:t xml:space="preserve"> Iesniegumu par robežlīguma reģistrāciju vai izslēgšanu no reģistra Valsts meža dienestā iesniedz strukturētu datu veidā tiešsaistē Meža valsts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7</w:t>
      </w:r>
      <w:r w:rsidR="00000000" w:rsidRPr="00000000" w:rsidDel="00000000">
        <w:rPr>
          <w:rtl w:val="0"/>
        </w:rPr>
        <w:t xml:space="preserve"> Valsts meža dienests šajos noteikumos minētos lēmumus paziņo adresātam Valsts meža dienesta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Mednieka pienākums ir nekavējoties informēt Valsts meža dienestu par atrastu bojā gājušu medījamo dzīvnieku, izmantojot Meža valsts reģistra funkcionalitātei atbilstošu mobilo lietotni.";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Mednieka pienākums ir pirms medībām informēt atbildīgo personu par plānotajām medībām un ievērot atbildīgās personas norādījumus par mednieka atrašanos medību laikā medību iecirknī.";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svītrot 35.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svītrot 36.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svītrot 37.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svītrot 38.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Mednieks informāciju par nomedītajiem un ievainotajiem dzīvniekiem iesniedz Valsts meža dienestā, izmantojot Meža valsts reģistra funkcionalitātei atbilstošu mobilo lietotni.";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izteikt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Pēc saskaņošanas ar mednieku vai medību tiesību lietotāju Valsts meža dienests ir tiesīgs noteikt Meža valsts reģistra funkcionalitātei atbilstošu šo noteikumu 25., 39. punktā, 51.6., 51.7., 51.9. apakšpunktā un 101. punktā minēto prasību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Valsts meža dienests medību atļaujas izsniedz saskaņā ar Medību likuma 20. panta pirmajā daļā minēto lēmumu, ar kuru tiek noteikts un apstiprināts limitēto medījamo sugu dzīvnieku pieļaujamais nomedīšanas apjoms.";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Valsts meža dienests medību atļauju konkrētā medību sezonā izsniedz pēc šo noteikumu 43. punktā minēto personu pieprasījuma strukturētu datu veidā tiešsaistē Meža valsts reģistrā, vienlaikus to nosūtot uz lietotāja oficiālo elektronisko adresi, ja personai ir aktivizēts oficiālās elektroniskās adreses konts, vai uz norādīto elektroniskā pasta adresi, ja oficiālās elektroniskās adreses konts nav aktivizēts.";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izteikt 45.1.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 izsniegt medību atļauju, ja tiek pārsniegts Valsts meža dienesta noteiktais limitēto medījamo sugu dzīvnieku pieļaujamais nomedīšanas apjoms, vai atļauju dzīvnieku medīšanai medību iecirknī, ja postījumu vietā ir īstenoti aizsardzības pasākumi, vai postījuma vietā – zemes vienībā ar atsevišķu kadastra apzīmējumu vai lauku blokā (nepārtraukts lauksaimniecībā izmantojams zemesgabals, ko norobežo stabilu, dabā identificējamu objektu robeža vai īpašumu robeža), ja aizsardzības pasākumi nav īstenoti, vai par atteikumu izsniegt medību atļauju;";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izteikt 45.2.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"45.2. izsniegt atļauju medīt ārpus noteiktā medību termiņa vai atļauju medīt nelimitētos medījamos dzīvniekus postījumu vietā vai par atteikumu izsniegt medību atļauju.";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Valsts meža dienests pieņem lēmumu par atteikumu izsniegt atļauju vai anulē šo noteikumu 46. punktā minēto atļauju, ja konstatēta neatbilstība dzīvnieku aizsardzību un labturību reglamentējošo normatīvo aktu prasībām. Valsts meža dienests pieņem lēmumu par atteikumu izsniegt atļauju nebrīvē turētu savvaļas sugu medījamo dzīvnieku izlaišanai savvaļā,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47.1. konkrētajā medību sezonā ir pieņemts lēmums par attiecīgās sugas dzīvnieku skaita samazināšanu;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47.2. dzīvnieki nav piemēroti izdzīvošanai savvaļā;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 atļaujas prasītājs nevar pierādīt, ka dzīvnieku izlaišana savvaļā neatstās negatīvu ietekmi uz attiecīgās sugas savvaļas populācijas genofondu.";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Dzinējmedībās medību vadītāja pienākumus ir tiesīga pildīt persona, kas saņēmusi medību vadītāja apliecību. Medību pārskats un medību vadītāja apliecība dzinējmedību laikā atrodas pie medību vadītāja. Dzinējmedības aizliegts organizēt bez medību vadītāja.";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papildināt ar 50.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Individuālajās medībās medību vadītāja pienākumi ir saistoši medību tiesību lietotājam vai tā pilnvarotajai personai, ja mednieks medī ar Valsts meža dienestā saņemtu atļauju ārzemniekam medīt Latvijas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izteikt 51.6.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 noskaidrot katra šāviena rezultātu un organizēt ievainoto dzīvnieku izsekošanu. Ja ievainots alnis, staltbriedis, mežacūka vai stirna, pirms tā izsekošanas, izmantojot Meža valsts reģistra funkcionalitātei atbilstošu mobilo lietotni, reģistrēt ievainošanas faktu. Ja ievainotais dzīvnieks atstājis reģistrēto medību iecirkni, medību vadītājs, saskaņojot ar medību tiesību lietotāju vai tās zemes īpašnieku, kura medību platībā iebēdzis ievainotais dzīvnieks, organizē ievainotā dzīvnieka izsekošanu. Ja ievainotā dzīvnieka izsekošanai nepieciešams medību šķirnes suns, tā izmantošanu saskaņo ar attiecīgo medību tiesību lietotāju vai zemes īpašnieku;";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izteikt 51.7.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"51.7. izmantojot Meža valsts reģistra funkcionalitātei atbilstošu mobilo lietotni, reģistrēt nomedīto dzīvnieku pirms tā sadalīšanas vai pārvietošanas no vietas, kurā tas nomedīts (ūdensputniem – ūdens objekta krasta), kā arī organizēt nomedīto dzīvnieku pārvietošanu līdz transportlīdzeklim;";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svītrot 51.8.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izteikt 51.9.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"51.9. informāciju par nomedītajiem un ievainotajiem medījamiem dzīvniekiem vienas dienas laikā iesniegt Valsts meža dienestā, izmantojot Meža valsts reģistra funkcionalitātei atbilstošu mobilo lietotni;";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papildināt ar 51.16.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"51.16. uzrādīt medības uzraugošo un kontrolējošo dienestu amatpersonām Meža valsts reģistra funkcionalitātei atbilstošā mobilajā lietotnē reģistrēto vai iesniegto informāciju par nomedītajiem un ievainotajiem medījamiem dzīvniekiem.";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izteikt 66.1.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"66.1. ar vītņstobra medību šaujamieroci, kura šāviņa enerģija stobra galā nav mazāka par 3000 džouliem, un ekspansīvas iedarbības lodi, bet dzīvniekus, kuri jaunāki par gadu, individuālajās medībās atļauts medīt arī ar vītņstobra medību šaujamieroci, kura šāviņa enerģija stobra galā nav mazāka par 1500 džouliem, un ekspansīvas iedarbības lodi;";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svītrot 79.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izteikt 101.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Nomedīta dzīvnieka pārvietošanas laikā personas rīcībā ir Meža valsts reģistra funkcionalitātei atbilstošā mobilajā lietotnē reģistrēta vai iesniegta informācija par nomedīto dzīvnieku vai dzīvnieka ķermenis ir marķēts ar marķieri, kurā norādīts nomedīšanas datums un tā mednieka apliecības numurs, kas nomedījis medījumu.";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svītrot 104.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svītrot 111.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svītrot 3.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svītrot 4. pielikumu.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2024. gada 1. aprīlī.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22-TA-2430</w:t>
    </w:r>
    <w:r>
      <w:br/>
    </w:r>
    <w:r w:rsidR="00000000" w:rsidRPr="00000000" w:rsidDel="00000000">
      <w:rPr>
        <w:rtl w:val="0"/>
      </w:rPr>
      <w:t xml:space="preserve">Izdrukāts 30.07.2026. 00.08 - 1.0.VK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22-TA-2430</w:t>
    </w:r>
    <w:r>
      <w:br/>
    </w:r>
    <w:r w:rsidR="00000000" w:rsidRPr="00000000" w:rsidDel="00000000">
      <w:rPr>
        <w:rtl w:val="0"/>
      </w:rPr>
      <w:t xml:space="preserve">Izdrukāts 30.07.2026. 00.08 - 1.0.VK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noteikumu_(grozījumu)_projekts_22-TA-2430.docx</dc:title>
</cp:coreProperties>
</file>

<file path=docProps/custom.xml><?xml version="1.0" encoding="utf-8"?>
<Properties xmlns="http://schemas.openxmlformats.org/officeDocument/2006/custom-properties" xmlns:vt="http://schemas.openxmlformats.org/officeDocument/2006/docPropsVTypes"/>
</file>