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Narkotisko un psihotropo vielu un zāļu, kā arī prekursoru likumīgās aprites likumā (Latvijas Republikas Saeimas un Ministru Kabineta Ziņotājs 1996, 12. nr.; 1998, 15. nr.; 2000, 10. nr.; 2003, 15. nr.; 2006, 12. nr.; 2007, 12., 21. nr.; 2008, 16. nr; Latvijas Vēstnesis, 2010, 183. nr.; 2012, 200. nr.; 2013, 213. nr.; 2019, 123., 248.A nr.; 2020, 123. nr.; 2021, 92.A nr., 2024, 246. nr. 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Likuma 48.pantā: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Svītrot trešajā daļā vārdus "vai neatļauti tās lietos".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ar ceturto daļu šādā redakcijā: 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"Piemērojot administratīvo sodu par šā panta pirmajā daļā paredzēto pārkāpumu, pilngadīgu personu vienlaikus rakstveidā brīdina par kriminālatbildību, ja tā gada laikā pēc administratīvā soda piemērošanas neatļauti tās lietos."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24-TA-1808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24-TA-1808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likumprojekts_(grozījumi)_24-TA-1808.docx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