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septembrī (prot. Nr. 43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4.3.4.3. pasākuma "Pasākumi ģimenes un darba dzīves saskaņošanai" pirmās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4.3.4. specifiskā atbalsta mērķa "Sekmēt aktīvu iekļaušanu, lai veicinātu vienlīdzīgas iespējas, nediskriminēšanu un aktīvu līdzdalību, kā arī uzlabotu nodarbināmību, jo īpaši attiecībā uz nelabvēlīgā situācijā esošām grupām" 4.3.4.3. pasākuma "Pasākumi ģimenes un darba dzīves saskaņošanai" pirmo kārtu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ģimenes un darba dzīves saskaņošanu un cilvēkkapitāla attīstību, veicot izvērtējumus par dažādiem dzīves kvalitātes uzlabošanas aspektiem un īstenojot sabiedrības informēšanas un izglītošanas pasākumus par ģimenes un darba dzīves saskaņošanas iespējām un vienlīdzīgu iespēju un nediskriminācijas jautājumiem.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politikas veidotāji;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kopumā.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 īstenotie izvērtējumi – 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 īstenotie izvērtējumi – 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5 309 860</w:t>
      </w:r>
      <w:r w:rsidR="00000000" w:rsidRPr="00000000" w:rsidDel="00000000">
        <w:rPr>
          <w:i w:val="1"/>
          <w:rtl w:val="0"/>
        </w:rPr>
        <w:t xml:space="preserve"> euro</w:t>
      </w:r>
      <w:r w:rsidR="00000000" w:rsidRPr="00000000" w:rsidDel="00000000">
        <w:rPr>
          <w:rtl w:val="0"/>
        </w:rPr>
        <w:t xml:space="preserve">, tai skaitā Eiropas Sociālā fonda Plus finansējums – 4 513 381 </w:t>
      </w:r>
      <w:r w:rsidR="00000000" w:rsidRPr="00000000" w:rsidDel="00000000">
        <w:rPr>
          <w:i w:val="1"/>
          <w:rtl w:val="0"/>
        </w:rPr>
        <w:t xml:space="preserve">euro</w:t>
      </w:r>
      <w:r w:rsidR="00000000" w:rsidRPr="00000000" w:rsidDel="00000000">
        <w:rPr>
          <w:rtl w:val="0"/>
        </w:rPr>
        <w:t xml:space="preserve"> un valsts budžeta līdzfinansējums – 796 479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šo noteikumu spēkā stāšanās dienu.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iesnieguma iesniedzējam un finansējuma saņēmējam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valsts pārvaldes iestāde, kas organizē un koordinē darba, sociālās aizsardzības, bērnu un ģimenes tiesību, kā arī personu ar invaliditāti vienlīdzīgu iespēju un dzimumu līdztiesības politikas īstenošanu, –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projekta iesnieguma apstiprināšanas projekta iesniedzējs kļūst par Eiropas Sociālā fonda Plus finansējuma saņēmēju (turpmāk –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politikas veidošanai nepieciešamo izvērtējumu veikšana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izpratnes un informētības paaugstināšanas pasākumu īstenošana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tiešās attiecināmās izmaksas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brīdim, kad tiks apstiprināta atbildīgās iestādes izstrādātā personāla atlīdzības izmaksu vienotās likmes un tās piemērošanas metodika (turpmāk – personāla izmaksu metodika), – finansējuma saņēmēja projekta vadības un īstenošanas personāla atlīdzības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personāla izmaksu metodikas apstiprināšanas – finansējuma saņēmēja projekta vadības un īstenošanas personāla atlīdzības izmaksas, tai skaitā veselības apdrošināšanas izmaksas un redzes korekcijas līdzekļu kompensācija, piemērojot personāla izmaksu metodikā noteikto likmi no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minētajām tiešajām attiecināmajām izmaksām, kas nav tiešās personāla izmaksas. Minētās tiešās attiecināmās personāla izmaksas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minētās atbalstāmās darbības īstenošanai, kā arī šo noteikumu 13.4. apakšpunktā minētās atbalstāmās darbības īstenošanai, ja finansējuma saņēmējs projekta vadības un īstenošanas personālu piesaista uz iepirkumu līgumu pamata;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kārtību, kādā veicama obligātā veselības pārbaude, paredzētās veselības pārbaužu izmaksas finansējuma saņēmēja projekta vadības un īstenošanas personālam, ja tās nav iekļautas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personāla izmaksu metodikas apstiprināšanai – redzes korekcijas līdzekļu kompensācija finansējuma saņēmēja projekta vadības un īstenošanas personālam, ja tā nav iekļauta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minētajās veselības apdrošināšanas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15.2.1. </w:t>
      </w:r>
      <w:r w:rsidR="00000000" w:rsidRPr="00000000" w:rsidDel="00000000">
        <w:rPr>
          <w:rtl w:val="0"/>
        </w:rPr>
        <w:t xml:space="preserve">apakšpunktā</w:t>
      </w:r>
      <w:r w:rsidR="00000000" w:rsidRPr="00000000" w:rsidDel="00000000">
        <w:rPr>
          <w:rtl w:val="0"/>
        </w:rPr>
        <w:t xml:space="preserve"> minēto iepirkumu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w:t>
      </w:r>
      <w:r w:rsidR="00000000" w:rsidRPr="00000000" w:rsidDel="00000000">
        <w:rPr>
          <w:rtl w:val="0"/>
        </w:rPr>
        <w:t xml:space="preserve"> vienai darba vietai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personāla izmaksu metodikas apstiprināšanai veselības apdrošināšanu var paredzēt finansējuma saņēmēja projekta īstenošanas un vadības personālam.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izmaksu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paredzēt finansējuma saņēmēja projekta vadības un īstenošanas personālam šo noteikumu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 tai skaitā zīmju valodas tulku, vieglās valodas tulkošanu, reāllaika transkripciju, subtitrus, bērnu uzraudzības pakalpojuma nodrošināšanu, var paredzēt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pasākumu dalībniekiem.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saņēmējs plāno kā vienu izmaksu pozīciju septiņu procentu apmērā no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tas nav atgūstams atbilstoši normatīvajiem aktiem nodokļu politikas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minētās atbalstāmās darbības īstenošanā finansējuma saņēmēja izvēlēts pakalpojuma sniedzējs veic vismaz 15 izvērtējumus šādās politikas jomās: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tirgus, darba tiesības un darba aizsardzība;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sociālais darbs un sociālie pakalpojumi;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un ģimenes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ar invaliditāti vienlīdzīgas iespējas un vides un informācijas piekļūstamība;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dzimumu līdztiesība;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 iekļaušana.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minētās atbalstāmās darbības ietvaros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sabiedrības izpratnes un informētības paaugstināšanas pasākumu īstenošanas stratēģiju;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minētajai stratēģijai īsteno sabiedrības izpratnes un informētības paaugstināšanas pasākumus, tai skaitā nodrošina publikācijas medijos, sociālo tīklu aktivitātes, vides un televīzijas reklāmas, televīzijas sižetus un videorullīšus, radiopārraides, diskusijas, seminārus, domnīcas, konferences, sadarbības tīklu veidošanu, sabiedriskās domas aptaujas par ģimenes un darba dzīves saskaņošanas un dzīves kvalitātes uzlabošanas dažādiem aspektiem un vienlīdzīgu iespēju un nediskriminācijas jautājumiem.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minēto projekta vadības un īstenošanas personālu un, paredzot tam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 nepieciešamo personālu vai īstenojot iepirkumus, nodrošina, ka projekta īstenošanas laikā tiek ievēroti interešu konflikta, korupcijas un krāpšanas novēršanas nosacījumi, vismaz paredzot, ka projekta vadībā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krāpšanas pazīmēm un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līgumos, kurus slēdz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avansa maksājumus var paredzēt ne vairāk kā 30 procentu apmērā no attiecīgā iepirkuma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2021/1060 47. un 50. pantā, normatīvajos aktos par kārtību, kādā Eiropas Savienības fondu vadībā iesaistītās institūcijas nodrošina šo fondu ieviešanu 2021.–2027. gada plānošanas periodā, un ES fondu 2021.–2027. gada plānošanas perioda un Atveseļošanas fonda komunikācijas un dizaina vadlīnijās;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savā tīmekļvietnē un sociālajos tīklos ievieto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projektā plānotās atbalstāmās darbības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minētās atbalstāmas darbības īstenošanā ievēro normatīvos aktus par kārtību, kādā publiska persona pasūta pētījumus;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dažādu veidu funkcionāliem traucējumiem piekļūstami formāti, tai skaitā tulkošana zīmju valodā, subtitrēšana, reāllaika transkripcija, raidījumu un pasākumu ieraksti;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uzraudzības pakalpojumu saņēmušo personu skaits, kas piedalās mācībās vai projekta aktivitātēs.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23-TA-588</w:t>
    </w:r>
    <w:r>
      <w:br/>
    </w:r>
    <w:r w:rsidR="00000000" w:rsidRPr="00000000" w:rsidDel="00000000">
      <w:rPr>
        <w:rtl w:val="0"/>
      </w:rPr>
      <w:t xml:space="preserve">Izdrukāts 29.07.2026. 21.55 - 2.0.VK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23-TA-588</w:t>
    </w:r>
    <w:r>
      <w:br/>
    </w:r>
    <w:r w:rsidR="00000000" w:rsidRPr="00000000" w:rsidDel="00000000">
      <w:rPr>
        <w:rtl w:val="0"/>
      </w:rPr>
      <w:t xml:space="preserve">Izdrukāts 29.07.2026. 21.55 - 2.0.VK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noteikumu_projekts_23-TA-588.docx</dc:title>
</cp:coreProperties>
</file>

<file path=docProps/custom.xml><?xml version="1.0" encoding="utf-8"?>
<Properties xmlns="http://schemas.openxmlformats.org/officeDocument/2006/custom-properties" xmlns:vt="http://schemas.openxmlformats.org/officeDocument/2006/docPropsVTypes"/>
</file>