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1 427 332 </w:t>
      </w:r>
      <w:r w:rsidR="00000000" w:rsidRPr="00000000" w:rsidDel="00000000">
        <w:rPr>
          <w:i w:val="1"/>
          <w:rtl w:val="0"/>
        </w:rPr>
        <w:t xml:space="preserve">euro</w:t>
      </w:r>
      <w:r w:rsidR="00000000" w:rsidRPr="00000000" w:rsidDel="00000000">
        <w:rPr>
          <w:rtl w:val="0"/>
        </w:rPr>
        <w:t xml:space="preserve">, lai no 2024. gada 1. septembra nodrošinātu profesionālās ievirzes un interešu izglītības pedagogu un sporta treneru darba slodzes līdzsvarošanu,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(resors "62. Mērķdotācijas pašvaldībām") – 644 399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 381 626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 401 307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un Kultūras ministrijai normatīvajos aktos noteiktajā kārtībā sagatavot un iesniegt Finanšu ministrijā pieprasījumu par pamatbudžeta apropriācijas palielinājumu no valsts budžeta programmas 02.00.00 "Līdzekļi neparedzētiem gadījumiem"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24-TA-2063</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24-TA-2063</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rīkojuma_projekts_24-TA-2063.docx</dc:title>
</cp:coreProperties>
</file>

<file path=docProps/custom.xml><?xml version="1.0" encoding="utf-8"?>
<Properties xmlns="http://schemas.openxmlformats.org/officeDocument/2006/custom-properties" xmlns:vt="http://schemas.openxmlformats.org/officeDocument/2006/docPropsVTypes"/>
</file>