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Grozījums Ministru kabineta 2014. gada 25. marta noteikumos Nr. 156 "Būvizstrādājumu tirgus uzraudzības kārtība"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 likuma "</w:t>
      </w:r>
      <w:r w:rsidR="00000000" w:rsidRPr="00000000" w:rsidDel="00000000">
        <w:rPr>
          <w:rStyle w:val="paragraph"/>
          <w:i w:val="1"/>
          <w:rtl w:val="0"/>
        </w:rPr>
        <w:t xml:space="preserve">Par atbilstības novērtēšanu</w:t>
      </w:r>
      <w:r w:rsidR="00000000" w:rsidRPr="00000000" w:rsidDel="00000000">
        <w:rPr>
          <w:rStyle w:val="paragraph"/>
          <w:i w:val="1"/>
          <w:rtl w:val="0"/>
        </w:rPr>
        <w:t xml:space="preserve">"</w:t>
      </w:r>
      <w:r>
        <w:br/>
      </w:r>
      <w:r w:rsidR="00000000" w:rsidRPr="00000000" w:rsidDel="00000000">
        <w:rPr>
          <w:rStyle w:val="paragraph"/>
          <w:i w:val="1"/>
          <w:rtl w:val="0"/>
        </w:rPr>
        <w:t xml:space="preserve">7.panta otro daļu un </w:t>
      </w:r>
      <w:r w:rsidR="00000000" w:rsidRPr="00000000" w:rsidDel="00000000">
        <w:rPr>
          <w:rStyle w:val="paragraph"/>
          <w:i w:val="1"/>
          <w:rtl w:val="0"/>
        </w:rPr>
        <w:t xml:space="preserve">Būvniecības likuma</w:t>
      </w:r>
      <w:r>
        <w:br/>
      </w:r>
      <w:r w:rsidR="00000000" w:rsidRPr="00000000" w:rsidDel="00000000">
        <w:rPr>
          <w:rStyle w:val="paragraph"/>
          <w:i w:val="1"/>
          <w:rtl w:val="0"/>
        </w:rPr>
        <w:t xml:space="preserve">5.panta pirmās daļas 10.punktu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Izdarīt Ministru kabineta 2014. gada 25. marta noteikumos Nr. 156 "Būvizstrādājumu tirgus uzraudzības kārtība" (Latvijas Vēstnesis, 2014, 62., 84. nr.; 2015, 38. nr.; 2017, 232. nr.; 2018, 96., 196. nr.; 2023, 173. nr.) šādu grozījumu: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ar IV</w:t>
      </w:r>
      <w:r w:rsidR="00000000" w:rsidRPr="00000000" w:rsidDel="00000000">
        <w:rPr>
          <w:vertAlign w:val="superscript"/>
          <w:rtl w:val="0"/>
        </w:rPr>
        <w:t xml:space="preserve">4</w:t>
      </w:r>
      <w:r w:rsidR="00000000" w:rsidRPr="00000000" w:rsidDel="00000000">
        <w:rPr>
          <w:rtl w:val="0"/>
        </w:rPr>
        <w:t xml:space="preserve"> nodaļu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jc w:val="center"/>
        <w:contextualSpacing w:val="0"/>
        <w:spacing w:before="0"/>
        <w:rPr>
          <w:u w:val="none"/>
        </w:rPr>
      </w:pPr>
      <w:r w:rsidR="00000000" w:rsidRPr="00000000" w:rsidDel="00000000">
        <w:rPr>
          <w:b w:val="1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"IV</w:t>
      </w:r>
      <w:r w:rsidR="00000000" w:rsidRPr="00000000" w:rsidDel="00000000">
        <w:rPr>
          <w:b w:val="1"/>
          <w:vertAlign w:val="superscript"/>
          <w:rtl w:val="0"/>
        </w:rPr>
        <w:t xml:space="preserve">4</w:t>
      </w:r>
      <w:r w:rsidR="00000000" w:rsidRPr="00000000" w:rsidDel="00000000">
        <w:rPr>
          <w:b w:val="1"/>
          <w:rtl w:val="0"/>
        </w:rPr>
        <w:t xml:space="preserve">. Prasības atkārtoti izmantojamiem būvizstrādājumiem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</w:t>
      </w:r>
      <w:r w:rsidR="00000000" w:rsidRPr="00000000" w:rsidDel="00000000">
        <w:rPr>
          <w:vertAlign w:val="superscript"/>
          <w:rtl w:val="0"/>
        </w:rPr>
        <w:t xml:space="preserve">12</w:t>
      </w:r>
      <w:r w:rsidR="00000000" w:rsidRPr="00000000" w:rsidDel="00000000">
        <w:rPr>
          <w:rtl w:val="0"/>
        </w:rPr>
        <w:t xml:space="preserve"> Projektētājs, paredzot būvprojektā atkārtoti izmantojamos būvizstrādājumus, nosaka šo būvizstrādājumu raksturlielumus un atbilstības novērtēšanas kārtību šo raksturlielumu noteikšanai (ja nepieciešams).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</w:t>
      </w:r>
      <w:r w:rsidR="00000000" w:rsidRPr="00000000" w:rsidDel="00000000">
        <w:rPr>
          <w:vertAlign w:val="superscript"/>
          <w:rtl w:val="0"/>
        </w:rPr>
        <w:t xml:space="preserve">13</w:t>
      </w:r>
      <w:r w:rsidR="00000000" w:rsidRPr="00000000" w:rsidDel="00000000">
        <w:rPr>
          <w:rtl w:val="0"/>
        </w:rPr>
        <w:t xml:space="preserve"> Ja atkārtoti izmantojamos būvizstrādājumus paredzēts izmantot būvju konstrukcijās, kurām noteiktas ugunsdrošības prasības, šos būvizstrādājumus testē un nosaka ugunsdrošības raksturlielumus.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</w:t>
      </w:r>
      <w:r w:rsidR="00000000" w:rsidRPr="00000000" w:rsidDel="00000000">
        <w:rPr>
          <w:vertAlign w:val="superscript"/>
          <w:rtl w:val="0"/>
        </w:rPr>
        <w:t xml:space="preserve">14</w:t>
      </w:r>
      <w:r w:rsidR="00000000" w:rsidRPr="00000000" w:rsidDel="00000000">
        <w:rPr>
          <w:rtl w:val="0"/>
        </w:rPr>
        <w:t xml:space="preserve"> Ja atkārtoti izmantojamos būvizstrādājumus paredzēts izmantot būvju nesošajās konstrukcijās, šos būvizstrādājumus testē un nosaka mehāniskās stiprības un stabilitātes raksturlielumus.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</w:t>
      </w:r>
      <w:r w:rsidR="00000000" w:rsidRPr="00000000" w:rsidDel="00000000">
        <w:rPr>
          <w:vertAlign w:val="superscript"/>
          <w:rtl w:val="0"/>
        </w:rPr>
        <w:t xml:space="preserve">15</w:t>
      </w:r>
      <w:r w:rsidR="00000000" w:rsidRPr="00000000" w:rsidDel="00000000">
        <w:rPr>
          <w:rtl w:val="0"/>
        </w:rPr>
        <w:t xml:space="preserve"> Būves nojaukšanā vai citos būvdarbos iegūtus ķieģeļus var izmantot atkārtoti bez testēšanas pirmās grupas būvju nenesošajās konstrukcijās.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</w:t>
      </w:r>
      <w:r w:rsidR="00000000" w:rsidRPr="00000000" w:rsidDel="00000000">
        <w:rPr>
          <w:vertAlign w:val="superscript"/>
          <w:rtl w:val="0"/>
        </w:rPr>
        <w:t xml:space="preserve">16</w:t>
      </w:r>
      <w:r w:rsidR="00000000" w:rsidRPr="00000000" w:rsidDel="00000000">
        <w:rPr>
          <w:rtl w:val="0"/>
        </w:rPr>
        <w:t xml:space="preserve"> Būves nojaukšanā vai citos būvdarbos iegūtus betona pamatu blokus var izmantot atkārtoti bez testēšanas pamatu izbūvei pirmās grupas būvēs.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</w:t>
      </w:r>
      <w:r w:rsidR="00000000" w:rsidRPr="00000000" w:rsidDel="00000000">
        <w:rPr>
          <w:vertAlign w:val="superscript"/>
          <w:rtl w:val="0"/>
        </w:rPr>
        <w:t xml:space="preserve">17</w:t>
      </w:r>
      <w:r w:rsidR="00000000" w:rsidRPr="00000000" w:rsidDel="00000000">
        <w:rPr>
          <w:rtl w:val="0"/>
        </w:rPr>
        <w:t xml:space="preserve"> Būves nojaukšanā vai citos būvdarbos iegūtus apdares materiālus var izmantot atkārtoti bez testēšanas ārsienu un iekštelpu apdarei pirmās grupas būvēs.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</w:t>
      </w:r>
      <w:r w:rsidR="00000000" w:rsidRPr="00000000" w:rsidDel="00000000">
        <w:rPr>
          <w:vertAlign w:val="superscript"/>
          <w:rtl w:val="0"/>
        </w:rPr>
        <w:t xml:space="preserve">18</w:t>
      </w:r>
      <w:r w:rsidR="00000000" w:rsidRPr="00000000" w:rsidDel="00000000">
        <w:rPr>
          <w:rtl w:val="0"/>
        </w:rPr>
        <w:t xml:space="preserve"> Būves nojaukšanā vai citos būvdarbos iegūtus siltumizolācijas materiālus var izmantot atkārtoti bez testēšanas būves siltināšanai pirmās grupas būvēs.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</w:t>
      </w:r>
      <w:r w:rsidR="00000000" w:rsidRPr="00000000" w:rsidDel="00000000">
        <w:rPr>
          <w:vertAlign w:val="superscript"/>
          <w:rtl w:val="0"/>
        </w:rPr>
        <w:t xml:space="preserve">19</w:t>
      </w:r>
      <w:r w:rsidR="00000000" w:rsidRPr="00000000" w:rsidDel="00000000">
        <w:rPr>
          <w:rtl w:val="0"/>
        </w:rPr>
        <w:t xml:space="preserve"> Būves nojaukšanā vai citos būvdarbos iegūtus logus un durvis var izmantot atkārtoti bez testēšanas ēkās, kurām nav noteiktas energoefektivitātes prasības.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</w:t>
      </w:r>
      <w:r w:rsidR="00000000" w:rsidRPr="00000000" w:rsidDel="00000000">
        <w:rPr>
          <w:vertAlign w:val="superscript"/>
          <w:rtl w:val="0"/>
        </w:rPr>
        <w:t xml:space="preserve">20</w:t>
      </w:r>
      <w:r w:rsidR="00000000" w:rsidRPr="00000000" w:rsidDel="00000000">
        <w:rPr>
          <w:rtl w:val="0"/>
        </w:rPr>
        <w:t xml:space="preserve"> Būves nojaukšanā vai citos būvdarbos iegūtus jumta seguma materiālus var izmantot atkārtoti bez testēšanas jumta pārklāšanai pirmās grupas būvēs.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</w:t>
      </w:r>
      <w:r w:rsidR="00000000" w:rsidRPr="00000000" w:rsidDel="00000000">
        <w:rPr>
          <w:vertAlign w:val="superscript"/>
          <w:rtl w:val="0"/>
        </w:rPr>
        <w:t xml:space="preserve">21</w:t>
      </w:r>
      <w:r w:rsidR="00000000" w:rsidRPr="00000000" w:rsidDel="00000000">
        <w:rPr>
          <w:rtl w:val="0"/>
        </w:rPr>
        <w:t xml:space="preserve"> Papildus šajā nodaļā noteiktajiem nosacījumiem, atkārtoti izmantojamos būvizstrādājumus minētajiem mērķiem atļauts lietot tad, ja to ražošanā nav lietotas videi kaitīgas vielas."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24-TA-1987</w:t>
    </w:r>
    <w:r>
      <w:br/>
    </w:r>
    <w:r w:rsidR="00000000" w:rsidRPr="00000000" w:rsidDel="00000000">
      <w:rPr>
        <w:rtl w:val="0"/>
      </w:rPr>
      <w:t xml:space="preserve">Izdrukāts 30.07.2026. 00.19 - 1.0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24-TA-1987</w:t>
    </w:r>
    <w:r>
      <w:br/>
    </w:r>
    <w:r w:rsidR="00000000" w:rsidRPr="00000000" w:rsidDel="00000000">
      <w:rPr>
        <w:rtl w:val="0"/>
      </w:rPr>
      <w:t xml:space="preserve">Izdrukāts 30.07.2026. 00.19 - 1.0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noteikumu_(grozījumu)_projekts_24-TA-1987.docx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