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21. janvārī (prot. Nr. 3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26. septembra noteikumos Nr. 544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4.3.4.5. pasākuma "Atbalsts pilsoniskās sabiedrības organizāciju izaugsmei, stiprinot līdzdalību publiskās pārvaldes lēmumu pieņemšanas procesos"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26. septembra noteikumos Nr. 544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4.3.4.5. pasākuma "Atbalsts pilsoniskās sabiedrības organizāciju izaugsmei, stiprinot līdzdalību publiskās pārvaldes lēmumu pieņemšanas procesos" īstenošanas noteikumi" (Latvijas Vēstnesis, 2023, 188.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tiešās attiecināmās finansējuma saņēmēja un sadarbības partnera projekta vadības un īstenošanas personāla izmaksas šo noteikumu 17.8. apakšpunktā minēto atbalstāmo darbību īstenošanai: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 finansējuma saņēmēja projekta vadības un īstenošanas personāla atlīdzības izmaksas saskaņā ar Valsts un pašvaldību institūciju amatpersonu un darbinieku atlīdzības likumu (izņemot virsstundas);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19.1.2. sadarbības partnera projekta vadības un īstenošanas personāla atlīdzības izmaksas saskaņā ar sadarbības partnera atlīdzības sistēmā noteikto samaksu par līdzvērtīga darba veikšanu vai atbilstoši vidējai darba samaksai saskaņā ar Centrālās statistikas pārvaldes datiem par līdzvērtīgu darbu attiecīgajā nozarē (izņemot virsstundas);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19.1.3. ja personāla iesaiste projektā ir nodrošināta saskaņā ar daļlaika izmaksu attiecināmības principu, attiecināma ir ne mazāka kā 30 procentu noslodze;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19.1.4. personāla veselības apdrošināšanas izmaksas un redzes korekcijas līdzekļu kompensācijas izmaksas, ja tās nav iekļautas veselības apdrošināšanā. Ja personāls ir nodarbināts normālu darba laiku, veselības apdrošināšanas izmaksas ir attiecināmas 100 procentu apmērā. Ja personāls ir nodarbināts nepilnu darba laiku, veselības apdrošināšanas izmaksas nosakāmas atbilstoši nepilnā darba laika noslodzei. Ja personāla atlīdzībai piemēro daļlaika izmaksu attiecināmības principu, veselības apdrošināšanas izmaksas nosakāmas atbilstoši daļlaika noslodzei. Veselības apdrošināšanas izmaksas ir attiecināmas tikai laikposmā, kad personāls ir nodarbināts projektā;".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19.2.10.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"19.2.10. mācību pasākumu organizēšanas izmaksas šo noteikumu 17.1. apakšpunktā minētās atbalstāmās darbības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Šo noteikumu 18.2. apakšpunktā minētās netiešās attiecināmās izmaksas plāno kā vienu izmaksu pozīciju, piemērojot netiešo izmaksu vienoto likmi 15 % apmērā no šo noteikumu 19.1.1. un 19.1.2. apakšpunktā minētajām tiešajām attiecināmajām personāla izmaksām, kas radušās, pamatojoties uz darba līgumu vai rīkojumu par pretendenta iecelšanu civildienesta ierēdņa amatā,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54. panta "b"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26.6.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"26.6. nodrošina interešu konflikta neesību saskaņā ar Eiropas Parlamenta un Padomes 2024. gada 23. septembra Regulas (ES, Euratom) 2024/2509 par finanšu noteikumiem, ko piemēro Savienības vispārējam budžetam (pārstrādāta redakcija), 61. pantu, tai skaitā paraksta apliecinājumu."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24-TA-1316</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24-TA-1316</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noteikumu_(grozījumu)_projekts_24-TA-1316.docx</dc:title>
</cp:coreProperties>
</file>

<file path=docProps/custom.xml><?xml version="1.0" encoding="utf-8"?>
<Properties xmlns="http://schemas.openxmlformats.org/officeDocument/2006/custom-properties" xmlns:vt="http://schemas.openxmlformats.org/officeDocument/2006/docPropsVTypes"/>
</file>