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budžeta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Noteikumi nosaka Eiropas Savienības Atveseļošanas un noturības mehānisma (turpmāk – Atveseļošanas fonds) plāna 7.1.1. reformas "Enerģijas sektora transformācija" 7.1.1.1.i. investīcijas "Elektroenerģijas pārvades sistēmas sinhronizācija” (turpmāk - 7.1.1.1.i. investīcija), 7.1.1.2.i. investīcijas “Elektroenerģijas pārvades un sadales tīklu modernizācija” (turpmāk - 7.1.1.2.i. investīcija) un 7.1.1.3.i. investīcijas “Biometāna īpatsvara galapatēriņā palielināšana” (turpmāk - 7.1.1.3.i. investīcija) (turpmāk kopā – investīcijas)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investīcijām pieejamo Atveseļošanas fonda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investīciju ieviešanā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investīciju projektu (turpmāk – projekts) iesniedzējiem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investīciju atbalstāmās darbības un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investīciju un projektu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Investīciju mērķis ir nodrošināt finansējumu elektroenerģijas pārvades sistēmas sinhronizācijai, elektroenerģijas pārvades un sadales tīklu modernizācijai un attīstībai, kā arī biometāna īpatsvara galapatēriņā palielināšanai, kas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energoapgādes drošuma un stabilitātes palielināšanu un atbalsta pasākumu īstenošanu Baltijas valstu elektroenerģijas pārvades sistēmas sinhronizācijai ar kontinentālās Eiropas elektroenerģijas tīklu;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dabasgāzes apgādes drošuma palielināšanu, dabasgāzes pārvades sistēmas attīstīšanu, veicinot biometāna īpatsvara palielināšanu kopējā dabasgāzes pārvades sistēmā un biometāna īpatsvara palielināšanu enerģijas galapatēriņā un ieviešot informācijas tehnoloģiju risinājumus biometāna ievades punkta vadībai.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dabasgāzes apgādes drošuma palielināšanu, dabasgāzes pārvades sistēmas attīstīšanu, veicinot biometāna īpatsvara palielināšanu kopējā dabasgāzes pārvades sistēmā un biometāna īpatsvara palielināšanu enerģijas galapatēriņā un ieviešot informācijas tehnoloģiju risinājumus biometāna ievades punkta vadībai.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Investīciju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7.1.1.1.i. investīcijas ietvaros - elektroenerģijas pārvades sistēmas operators un elektroenerģijas tirgus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7.1.1.2.i. investīcijas ietvaros - elektroenerģijas pārvades sistēmas operators, elektroenerģijas sadales sistēmas operators, kuru sistēmai ir pieslēgti vairāk nekā 100 000 lietotāju, un elektroenerģijas tirgus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7.1.1.3.i. investīcijas ietvaros - vienotais dabasgāzes pārvades un uzglabāšanas sistēmas operators un dabasgāzes tirgus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 Investīciju ietvaros ir sasniedzami šādi Atveseļošanas fonda plānā minētie sasniedzamie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7.1.1.1.i. investīcijai: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līdz 2025. gada 30. jūnijam – noslēgti līgumi par 60 megavatu/120 megavatstundu bateriju enerģijas uzkrāšanas sistēmas piegādi un uzstādīšanu Rēzeknes valstpilsētā un par informācijas tehnoloģijas risinājuma izstrādi elektroenerģijas pārvades sistēmas vadībai;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atskaites punkts: līdz 2025. gada 31. decembrim – pabeigta informācijas tehnoloģijas risinājuma elektroenerģijas pārvades sistēmas vadībai izstrāde, kas ietver produkcijā ieviestu kiberdrošības risinājumu kritiski svarīgajai elektroenerģijas pārvades infrastruktūrai, kā arī koncepcijas izstrādi un programmatūras pamatfunkcionalitātes risinājumu iegādi un uzstādīšanu izstrādes vidē, lai viedi pārvaldītu atjaunojamo energoresursu elektroenerģijas savienojumus ar valsts elektroenerģijas pārvades tīklu;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mērķis: līdz 2025. gada 31. decembrim – pabeigta 60 megavatu/120 megavatstundu bateriju enerģijas uzkrāšanas sistēmas piegāde un uzstādīšana Rēzeknes valstpilsētā un ar to saistīto būvdarbu pabeigšana;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7.1.1.2.i. investīcijai: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līdz 2026. gada 30. jūnijam – pabeigta jaunas 110 kilovoltu apakšstacijas būvniecība Kuldīgas pilsētā un esošas 110 kilovoltu apakšstacijas rekonstrukcija Ādažu novada Carnikavas pagastā;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atskaites punkts: līdz 2026. gada 30. jūnijam – pabeigts pētījums par maksimālā atjaunojamo energoresursu daudzuma noteikšanu, ko var pieslēgt elektroenerģijas pārvades tīklam, pētījums par elektroenerģijas patēriņa pieaugumu un elektrifikācijas potenciālu Latvijā 10 gadu laikposmā un ietekmes uz vidi novērtējums jaunam Latvijas-Lietuvas elektroenerģijas pārvades tīkla starpsavienojumam un jaunai 330 kilovoltu līnijai Ventspils-Brocēni-Telši Latvijas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mērķis: līdz 2026. gada 30. jūnijam – palielināta elektroenerģijas sadales sistēmas jauda par 70 megavatiem, uzbūvējot jaunas 110 kilovoltu apakšstacijas un/vai palielinot esošu 110 kilovoltu apakšstaciju jaudu;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mērķis: līdz 2026. gada 30. jūnijam – pabeigta esošo elektroenerģijas sadales sistēmas gaisvadu līniju pārbūve par elektroenerģijas sadales sistēmas kabeļlīnijām 150 kilometru garumā;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atskaites punkts: līdz 2026. gada 30. jūnijam – pabeigta elektroenerģijas sadales sistēmas viedās pārvaldības risinājuma ieviešana un uzstādītas vismaz 285 attālināti vadāmas vidsprieguma komutācijas un vadības iekārtas, kas nodrošina elektroenerģijas sadales sistēmas attālinātu vadību un bojājumu identificēšanu;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7.1.1.3.i. investīcijai: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līdz 2025. gada 30. jūnijam – noslēgti līgumi par biometāna ievades punkta būvniecību, tostarp biometāna ievades punkta darbības nodrošināšanai nepieciešamo iekārtu piegādi un uzstādīšanu, un par informācijas tehnoloģiju risinājumu iegādi un izstrādi biometāna ievades punktu vadībai;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atskaites punkts: līdz 2025. gada 31. decembrim – pabeigta biometāna ievades punkta būvniecība;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atskaites punkts: līdz 2026. gada 30. jūnijam – pabeigta informācijas tehnoloģiju risinājuma biometāna ievades punkta vadībai izstrāde, kas ietver metāna un biometāna noplūdes konstatēšanas un novēršanas risinājumu ieviešanu.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Investīcijām pieejamais Atveseļošanas fonda finansējums ir 134 743 378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60 343 378 </w:t>
      </w:r>
      <w:r w:rsidR="00000000" w:rsidRPr="00000000" w:rsidDel="00000000">
        <w:rPr>
          <w:i w:val="1"/>
          <w:rtl w:val="0"/>
        </w:rPr>
        <w:t xml:space="preserve">euro </w:t>
      </w:r>
      <w:r w:rsidR="00000000" w:rsidRPr="00000000" w:rsidDel="00000000">
        <w:rPr>
          <w:rtl w:val="0"/>
        </w:rPr>
        <w:t xml:space="preserve">7.1.1.1.i. investīcijai;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72 900 000 </w:t>
      </w:r>
      <w:r w:rsidR="00000000" w:rsidRPr="00000000" w:rsidDel="00000000">
        <w:rPr>
          <w:i w:val="1"/>
          <w:rtl w:val="0"/>
        </w:rPr>
        <w:t xml:space="preserve">euro</w:t>
      </w:r>
      <w:r w:rsidR="00000000" w:rsidRPr="00000000" w:rsidDel="00000000">
        <w:rPr>
          <w:rtl w:val="0"/>
        </w:rPr>
        <w:t xml:space="preserve"> 7.1.1.2.i. investīcijai;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1 500 000 </w:t>
      </w:r>
      <w:r w:rsidR="00000000" w:rsidRPr="00000000" w:rsidDel="00000000">
        <w:rPr>
          <w:i w:val="1"/>
          <w:rtl w:val="0"/>
        </w:rPr>
        <w:t xml:space="preserve">euro </w:t>
      </w:r>
      <w:r w:rsidR="00000000" w:rsidRPr="00000000" w:rsidDel="00000000">
        <w:rPr>
          <w:rtl w:val="0"/>
        </w:rPr>
        <w:t xml:space="preserve">7.1.1.3.i. investīcijai.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Investīciju atbalstu sniedz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investīciju īstenošanu ir atbildīga Klimata un enerģētikas ministrija (turpmāk - nozares ministrija), kas ir nozares ministrija normatīvo aktu Atveseļošanas fonda plāna īstenošanas un uzraudzības jomā izpratnē un pilda minētajos normatīvajos aktos noteiktos nozares ministrijas pienākumus,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nosūta projektu iesniedzējiem uzaicinājumus iesniegt projektu iesniegumus;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projektu iesniegumu vērtēšanas komisiju, kurā iekļauj nozares ministrijas deleģētus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iesniegtos projektu iesniegumus un pieņem lēmumus par projektu iesniegumu apstiprināšanu vai noraidīšanu;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investīciju rādītāju progresa datu savlaicīgu ievadi Kohēzijas politikas fondu vadības informācijas sistēmā (turpmāk – vadības informācijas sistēma) atbilstoši normatīvajiem aktiem, kas nosaka Atveseļošanas fonda plāna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iesniegumu atlasi veic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Atveseļošanas fonda nozares ministrijas lēmumus par projektu iesniegumu apstiprināšanu vai noraidīšanu paraksta Klimata un enerģētikas ministrijas valsts sekretāra vietnieks klimata politikas jautājumos. Atveseļošanas fonda nozares ministrijas lēmumus projektu iesniedzēji var apstrīdēt, iesniedzot argumentētu iesniegumu augstākstāvošai amatpersonai – Klimata un enerģētikas ministrijas valsts sekretāram. Klimata un enerģētikas ministrijas valsts sekretāra lēmumus var pārsūdzēt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Centrālā finanšu un līgumu aģentūra (turpmāk – aģentūra) nodrošina investīciju īstenošanu un uzraudzību,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līgumus par investīciju projektu īstenošanu ar projektu iesniedzējiem, kuru projektu iesniegumi ir apstiprināti šajos noteikumos noteiktajā kārtībā (turpmāk –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Atveseļošanās fonda maksājumus finansējuma saņēmējam atbilstoši līgumam par investīciju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uzrauga projektu īstenošanu, tai skaitā veic pārbaudes par korupcijas, krāpšanas, interešu konflikta un dubultā finansējuma riska neiestāšanos;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datu ticamības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projektu ieviešanas progresa un sasniegto rādītāju pārbaudi, izskatīšanu un saskaņošanu;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iespēju vadības informācijas sistēmā uzkrāt Atveseļošanas fonda ietvaros nepieciešamos un </w:t>
      </w:r>
      <w:r w:rsidR="00000000" w:rsidRPr="00000000" w:rsidDel="00000000">
        <w:rPr>
          <w:rtl w:val="0"/>
        </w:rPr>
        <w:t xml:space="preserve">Eiropas Parlamenta un Padomes 2021. gada 12. februāra Regulas (ES) Nr. 2021/241</w:t>
      </w:r>
      <w:r w:rsidR="00000000" w:rsidRPr="00000000" w:rsidDel="00000000">
        <w:rPr>
          <w:rtl w:val="0"/>
        </w:rPr>
        <w:t xml:space="preserve"> </w:t>
      </w:r>
      <w:r w:rsidR="00000000" w:rsidRPr="00000000" w:rsidDel="00000000">
        <w:rPr>
          <w:rtl w:val="0"/>
        </w:rPr>
        <w:t xml:space="preserve">, </w:t>
      </w:r>
      <w:r w:rsidR="00000000" w:rsidRPr="00000000" w:rsidDel="00000000">
        <w:rPr>
          <w:i w:val="1"/>
          <w:rtl w:val="0"/>
        </w:rPr>
        <w:t xml:space="preserve">ar ko izveido Atveseļošanas un noturības mehānismu</w:t>
      </w:r>
      <w:r w:rsidR="00000000" w:rsidRPr="00000000" w:rsidDel="00000000">
        <w:rPr>
          <w:rtl w:val="0"/>
        </w:rPr>
        <w:t xml:space="preserve"> (turpmāk – </w:t>
      </w:r>
      <w:r w:rsidR="00000000" w:rsidRPr="00000000" w:rsidDel="00000000">
        <w:rPr>
          <w:rtl w:val="0"/>
        </w:rPr>
        <w:t xml:space="preserve">regula Nr. 2021/241</w:t>
      </w:r>
      <w:r w:rsidR="00000000" w:rsidRPr="00000000" w:rsidDel="00000000">
        <w:rPr>
          <w:rtl w:val="0"/>
        </w:rPr>
        <w:t xml:space="preserve"> </w:t>
      </w:r>
      <w:r w:rsidR="00000000" w:rsidRPr="00000000" w:rsidDel="00000000">
        <w:rPr>
          <w:rtl w:val="0"/>
        </w:rPr>
        <w:t xml:space="preserve">) 22. un 27. pantā minētos datus, tai skaitā informāciju Atveseļošanas fonda īstenošanas progresa pusgada ziņojuma un maksājuma pieprasījuma sagatavošanai par sasniedzamajiem rādītājiem investīcijas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investīcijas rādītāju progresa datu savlaicīgu ievadi vadības informācijas sistēmā atbilstoši Atveseļošanas fonda īstenošanas un uzraudzības kārtības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pārbauda Atveseļošanas fonda projektu atskaites punktu un mērķu (tai skaitā datu) atbilstību;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aptur Atveseļošanās fonda maksājumus un lemj par Atveseļošanās fonda finansējuma atgūšanu gadījumos, ko paredz līgums par investīciju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projektu iesniegumu vērtēšanas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var iesniegt vienu vai vairākus projektu iesniegumus par summu, kas nepārsniedz šādu Atveseļošanas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"Augstsprieguma tīkls" – 73 243 378 </w:t>
      </w:r>
      <w:r w:rsidR="00000000" w:rsidRPr="00000000" w:rsidDel="00000000">
        <w:rPr>
          <w:i w:val="1"/>
          <w:rtl w:val="0"/>
        </w:rPr>
        <w:t xml:space="preserve">euro </w:t>
      </w:r>
      <w:r w:rsidR="00000000" w:rsidRPr="00000000" w:rsidDel="00000000">
        <w:rPr>
          <w:rtl w:val="0"/>
        </w:rPr>
        <w:t xml:space="preserve">par 7.1.1.1.i. investīcijas un 7.1.1.2.i. investīcijas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"Sadales tīkls" – 60 000 000 </w:t>
      </w:r>
      <w:r w:rsidR="00000000" w:rsidRPr="00000000" w:rsidDel="00000000">
        <w:rPr>
          <w:i w:val="1"/>
          <w:rtl w:val="0"/>
        </w:rPr>
        <w:t xml:space="preserve">euro </w:t>
      </w:r>
      <w:r w:rsidR="00000000" w:rsidRPr="00000000" w:rsidDel="00000000">
        <w:rPr>
          <w:rtl w:val="0"/>
        </w:rPr>
        <w:t xml:space="preserve">par 7.1.1.2.i. investīcijas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akciju sabiedrība "Conexus Baltic Grid" – 1 500 000 </w:t>
      </w:r>
      <w:r w:rsidR="00000000" w:rsidRPr="00000000" w:rsidDel="00000000">
        <w:rPr>
          <w:i w:val="1"/>
          <w:rtl w:val="0"/>
        </w:rPr>
        <w:t xml:space="preserve">euro </w:t>
      </w:r>
      <w:r w:rsidR="00000000" w:rsidRPr="00000000" w:rsidDel="00000000">
        <w:rPr>
          <w:rtl w:val="0"/>
        </w:rPr>
        <w:t xml:space="preserve">par 7.1.1.3.i. investīcijas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Akciju sabiedrība "Sadales tīkls" kā finansējuma saņēmējs projektu var īstenot kopā ar sadarbības partneriem – akciju sabiedrību "Latvenergo" vai akciju sabiedrību "Augstsprieguma tīkls", ja tas nepieciešams projekta mērķu sasniegšanai. Atbildību par projekta īstenošanu un mērķa sasniegšanu uzņemas finansējuma saņēmējs. Šo noteikumu izpratnē sadarbības partneris ir komersants, ar kuru noslēgts sadarbības līgums un kurš piedalās projekta īstenošanai nepieciešamo aktivitāšu ieviešanā, rezultātu sasniegšanā un to uzturēšanā. Sadarbības līgumā tiek noteiktas sadarbības partnera saistības, pienākumi un atbildība.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iesnieguma iesniegšanas, vērtēšanas, apstiprināšanas un līguma par investīcijas projekta īstenošanu noslēgšanas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nozares ministrija 10 darbdienu laikā pēc šo noteikumu spēkā stāšanās dienas nosūta projektu iesniedzējiem uzaicinājumu iesniegt projektus, norādot aizpildāmos projekta iesnieguma datu laukus vadības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10 darbdienu laikā pēc uzaicinājuma saņemšanas iesniedz projekta iesniegumu vadības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ministrija 10 darbdienu laikā pēc projekta iesnieguma saņemšanas izveido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minēto projektu iesniegumu vērtēšanas komisiju un organizē iesniegtā projekta iesnieguma vērtēšanu atbilstoši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kritērijiem un, ja nepieciešams, lūdz projekta iesniedzēju veikt papildinājumus un precizējumus iesniegtajā projekta iesniegumā, nosakot termiņu precizējumu un papildinājumu veikšanai, kas nav ilgāks par 20 darbdienām. Nozares ministrijai ir tiesības projekta iesniedzējam pieprasīt informāciju un dokumentus, kas nepieciešami projekta iesnieguma vērtēšanai vai projekta iesniegumā plānoto darbību pamatošanai un attiecināmo izmaksu atbilstības vērtēšanai. Ja projekta iesniedzējs nepieciešamos papildinājumus un precizējumus neiesniedz nozares ministrijas noteiktajā termiņā, tad projekta iesniegums tiek noraidīts. Nozares ministrija var uzaicināt projekta iesniedzēju atkārtoti iesniegt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nozares ministrija apstiprina projekta iesniegumu vadības informācijas sistēmā un piecu darbdienu laikā informē projekta iesniedzēju un aģentūru, ka tās var uzsākt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noteiktā līguma par investīcijas projekta īstenošanu slēgšanas procesu;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līgums par investīcijas projekta īstenošanu tiek noslēgts ne vēlāk kā 30 darbdienu laikā no projekta iesnieguma apstiprināšanas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Nozares ministrijas izveidotā projektu iesniegumu vērtēšanas komisija izvērtē saņemto projektu iesniegumu atbilstību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un tā sadarbības partneri (ja tādi piesaistīti) ir reģistrēti Latvijas Republikas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iesniedzējam ir pietiekama administrēšanas, īstenošanas un finanšu kapacitāte projekta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iesniedzējam un tā sadarbības partneriem (ja tādi piesaistīti) saskaņā ar Valsts ieņēmumu dienesta administrēto nodokļu (nodevu) parādnieku datubāzē pieejamo informāciju nav nodokļu vai nodevu parādu, kas kopsummā katram atsevišķi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iesnieguma veidlapa ir iesniegta vadības informācijas sistēmā noteiktajā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veidlapu ir parakstījusi projekta iesniedzēja pilnvarota atbildīgā amatpersona;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iesnieguma veidlapa ir pilnībā aizpildīta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veidlapai ir pievienoti visi papildu iesniedzamie dokumenti, un tie ir sagatavoti valsts valodā vai tiem ir pievienots tulkojums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veidlapā finanšu dati ir norādīti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iesnieguma veidlapā iekļautais finanšu aprēķins ir izstrādāts aritmētiski precīzi un ir atbilstošs projekta iesnieguma veidlapai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ir iesniedzis vienu vai vairākus projekta iesniegumus par summu, kas nepārsniedz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attiecīgajam projekta iesniedzējam noteikto maksimālo Atveseļošanas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veidlapā iekļautās kopējās izmaksas, plānotās atbalstāmās darbības un izmaksu pozīcijas atbilst šajos noteikumos minētajām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projekta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nepieciešamas projekta īstenošanai (projektā norādīto darbību īstenošanai, mērķa grupas vajadzību nodrošināšanai, definētās problēmas risināšanai);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projektā izvirzītā mērķa un rādītāju sasniegšanu;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nepārsniedz noteikto izmaksu pozīciju apjomus;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īstenošanas termiņš atbilst šajos noteikumos minētajam termiņam;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mērķis atbilst šajos noteikumos minētajam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iesnieguma veidlapā plānotie sagaidāmie rezultāti un rādītāji atbilst šajos noteikumos minētajiem rezultātiem un rādītājiem;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iesnieguma veidlapā plānotās projekta darbības: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šajos noteikumos minētajām prasībām un paredz sasaisti ar attiecīgajām atbalstāmajām darbībām;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precīzi definētas un pamatotas un risina projektā definētās problēmas;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iesnieguma veidlapā plānotie publicitātes un informācijas izplatīšanas pasākumi atbilst šajos noteikumos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iesnieguma veidlapā ir identificēti, aprakstīti un izvērtēti projekta riski, novērtēta to ietekme un iestāšanās varbūtība, kā arī noteikti riskus mazinošie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un sadarbības partneri (ja tādi piesaistīti) apņemas nodrošināt sasniegto rezultātu uzturēšanu atbilstoši šo noteikumu </w:t>
      </w:r>
      <w:r w:rsidR="00000000" w:rsidRPr="00000000" w:rsidDel="00000000">
        <w:rPr>
          <w:rtl w:val="0"/>
        </w:rPr>
        <w:t xml:space="preserve">32.9.</w:t>
      </w:r>
      <w:r w:rsidR="00000000" w:rsidRPr="00000000" w:rsidDel="00000000">
        <w:rPr>
          <w:rtl w:val="0"/>
        </w:rPr>
        <w:t xml:space="preserve"> un </w:t>
      </w:r>
      <w:r w:rsidR="00000000" w:rsidRPr="00000000" w:rsidDel="00000000">
        <w:rPr>
          <w:rtl w:val="0"/>
        </w:rPr>
        <w:t xml:space="preserve">32.10.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veidlapā ir ietverta informācija par plānoto demarkāciju ar citiem līdzīgiem projektiem (projekta iesniedzēja vai citu subjektu īstenotiem) vai atbalsta pasākumiem, kā arī informācija par to, kādā veidā finansējuma saņēmējs nodrošinās, ka neiestājas dubultfinansējuma risks;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ieguldījumi tiek veikti, ievērojot šo noteikumu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uz projekta iesniedzēju un tā sadarbības partneriem (ja tādi piesaistīti) neattiecas </w:t>
      </w:r>
      <w:r w:rsidR="00000000" w:rsidRPr="00000000" w:rsidDel="00000000">
        <w:rPr>
          <w:rtl w:val="0"/>
        </w:rPr>
        <w:t xml:space="preserve">Eiropas Parlamenta un Padomes 2018. gada 18. jūlija Regulas (ES, Euratom) Nr. 2018/1046</w:t>
      </w:r>
      <w:r w:rsidR="00000000" w:rsidRPr="00000000" w:rsidDel="00000000">
        <w:rPr>
          <w:rtl w:val="0"/>
        </w:rPr>
        <w:t xml:space="preserve"> </w:t>
      </w:r>
      <w:r w:rsidR="00000000" w:rsidRPr="00000000" w:rsidDel="00000000">
        <w:rPr>
          <w:i w:val="1"/>
          <w:rtl w:val="0"/>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 </w:t>
      </w:r>
      <w:r w:rsidR="00000000" w:rsidRPr="00000000" w:rsidDel="00000000">
        <w:rPr>
          <w:rtl w:val="0"/>
        </w:rPr>
        <w:t xml:space="preserve">(turpmāk – </w:t>
      </w:r>
      <w:r w:rsidR="00000000" w:rsidRPr="00000000" w:rsidDel="00000000">
        <w:rPr>
          <w:rtl w:val="0"/>
        </w:rPr>
        <w:t xml:space="preserve">regula Nr. 2018/1046</w:t>
      </w:r>
      <w:r w:rsidR="00000000" w:rsidRPr="00000000" w:rsidDel="00000000">
        <w:rPr>
          <w:rtl w:val="0"/>
        </w:rPr>
        <w:t xml:space="preserve">), 136. pantā noteiktie izslēgšanas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darbības vērstas uz </w:t>
      </w:r>
      <w:r w:rsidR="00000000" w:rsidRPr="00000000" w:rsidDel="00000000">
        <w:rPr>
          <w:rtl w:val="0"/>
        </w:rPr>
        <w:t xml:space="preserve">regulas Nr. 2021/241</w:t>
      </w:r>
      <w:r w:rsidR="00000000" w:rsidRPr="00000000" w:rsidDel="00000000">
        <w:rPr>
          <w:rtl w:val="0"/>
        </w:rPr>
        <w:t xml:space="preserve"> </w:t>
      </w:r>
      <w:r w:rsidR="00000000" w:rsidRPr="00000000" w:rsidDel="00000000">
        <w:rPr>
          <w:rtl w:val="0"/>
        </w:rPr>
        <w:t xml:space="preserve"> 5. panta 2. punktā minētā principa “nenodarīt būtisku kaitējumu ievērošanu.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7.1.1.1.i. investīcijas ietvaros 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7.1.1.1.i. investīcijas ietvaros ir atbalstāmas šādas darbības, kas sekmē šo noteikumu </w:t>
      </w:r>
      <w:r w:rsidR="00000000" w:rsidRPr="00000000" w:rsidDel="00000000">
        <w:rPr>
          <w:rtl w:val="0"/>
        </w:rPr>
        <w:t xml:space="preserve">4.1.1.</w:t>
      </w:r>
      <w:r w:rsidR="00000000" w:rsidRPr="00000000" w:rsidDel="00000000">
        <w:rPr>
          <w:rtl w:val="0"/>
        </w:rPr>
        <w:t xml:space="preserve"> , </w:t>
      </w:r>
      <w:r w:rsidR="00000000" w:rsidRPr="00000000" w:rsidDel="00000000">
        <w:rPr>
          <w:rtl w:val="0"/>
        </w:rPr>
        <w:t xml:space="preserve">4.1.2.</w:t>
      </w:r>
      <w:r w:rsidR="00000000" w:rsidRPr="00000000" w:rsidDel="00000000">
        <w:rPr>
          <w:rtl w:val="0"/>
        </w:rPr>
        <w:t xml:space="preserve"> un </w:t>
      </w:r>
      <w:r w:rsidR="00000000" w:rsidRPr="00000000" w:rsidDel="00000000">
        <w:rPr>
          <w:rtl w:val="0"/>
        </w:rPr>
        <w:t xml:space="preserve">4.1.3. </w:t>
      </w:r>
      <w:r w:rsidR="00000000" w:rsidRPr="00000000" w:rsidDel="00000000">
        <w:rPr>
          <w:rtl w:val="0"/>
        </w:rPr>
        <w:t xml:space="preserve">apakšpunktā</w:t>
      </w:r>
      <w:r w:rsidR="00000000" w:rsidRPr="00000000" w:rsidDel="00000000">
        <w:rPr>
          <w:rtl w:val="0"/>
        </w:rPr>
        <w:t xml:space="preserve"> minēto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enerģijas uzkrāšanas jaudu ieviešana sinhronizācijas režīmā ar kontinentālās Eiropas elektroenerģijas tīklu;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sistēmu izveidošana elektroenerģijas pārvades sistēmas vadībai un pārvaldībai, kas vērsta uz kiberdrošības uzlabošanu kritiski svarīgajai elektroenerģijas pārvades infrastruktūrai un elektroenerģijas pārvades sistēmai pieslēgto atjaunojamo energoresursu pārvaldību.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7.1.1.1.i. investīcijas attiecināmās izmaksas, kas ir saistītas ar projekta aktivitāšu īstenošanu un mērķu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60 megavatu/120 megavatstundu bateriju enerģijas uzkrāšanas sistēmas iegāde, piegāde, uzstādīšana un ar to saistīto būvdarbu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tehnoloģijas risinājuma izstrāde elektroenerģijas pārvades sistēmas vadībai, ieviešot programmatūru kiberdrošības uzlabošanai kritiski svarīgajai elektroenerģijas pārvades infrastruktūrai, izstrādājot koncepciju, kā arī iegādājoties un uzstādot programmatūras pamatfunkcionalitātes risinājumu, lai viedi pārvaldītu atjaunojamo energoresursu elektroenerģijas savienojumus ar valsts elektroenerģijas pārvades tīklu;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izmaksas saskaņā ar šo noteikumu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minētajiem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7.1.1.2.i. investīcijas ietvaros atbalstāmās darbības un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7.1.1.2.i. investīcijas ietvaros ir atbalstāmas šādas darbības, kas sekmē šo noteikumu </w:t>
      </w:r>
      <w:r w:rsidR="00000000" w:rsidRPr="00000000" w:rsidDel="00000000">
        <w:rPr>
          <w:rtl w:val="0"/>
        </w:rPr>
        <w:t xml:space="preserve">4.2.1.</w:t>
      </w:r>
      <w:r w:rsidR="00000000" w:rsidRPr="00000000" w:rsidDel="00000000">
        <w:rPr>
          <w:rtl w:val="0"/>
        </w:rPr>
        <w:t xml:space="preserve"> , </w:t>
      </w:r>
      <w:r w:rsidR="00000000" w:rsidRPr="00000000" w:rsidDel="00000000">
        <w:rPr>
          <w:rtl w:val="0"/>
        </w:rPr>
        <w:t xml:space="preserve">4.2.2.</w:t>
      </w:r>
      <w:r w:rsidR="00000000" w:rsidRPr="00000000" w:rsidDel="00000000">
        <w:rPr>
          <w:rtl w:val="0"/>
        </w:rPr>
        <w:t xml:space="preserve"> , </w:t>
      </w:r>
      <w:r w:rsidR="00000000" w:rsidRPr="00000000" w:rsidDel="00000000">
        <w:rPr>
          <w:rtl w:val="0"/>
        </w:rPr>
        <w:t xml:space="preserve">4.2.3.</w:t>
      </w:r>
      <w:r w:rsidR="00000000" w:rsidRPr="00000000" w:rsidDel="00000000">
        <w:rPr>
          <w:rtl w:val="0"/>
        </w:rPr>
        <w:t xml:space="preserve"> , </w:t>
      </w:r>
      <w:r w:rsidR="00000000" w:rsidRPr="00000000" w:rsidDel="00000000">
        <w:rPr>
          <w:rtl w:val="0"/>
        </w:rPr>
        <w:t xml:space="preserve">4.2.4.</w:t>
      </w:r>
      <w:r w:rsidR="00000000" w:rsidRPr="00000000" w:rsidDel="00000000">
        <w:rPr>
          <w:rtl w:val="0"/>
        </w:rPr>
        <w:t xml:space="preserve"> un </w:t>
      </w:r>
      <w:r w:rsidR="00000000" w:rsidRPr="00000000" w:rsidDel="00000000">
        <w:rPr>
          <w:rtl w:val="0"/>
        </w:rPr>
        <w:t xml:space="preserve">4.2.5. </w:t>
      </w:r>
      <w:r w:rsidR="00000000" w:rsidRPr="00000000" w:rsidDel="00000000">
        <w:rPr>
          <w:rtl w:val="0"/>
        </w:rPr>
        <w:t xml:space="preserve">apakšpunktā</w:t>
      </w:r>
      <w:r w:rsidR="00000000" w:rsidRPr="00000000" w:rsidDel="00000000">
        <w:rPr>
          <w:rtl w:val="0"/>
        </w:rPr>
        <w:t xml:space="preserve"> minēto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sadales sistēmas kopējās jaudas palielināšana, tajā skaitā nepieciešamās infrastruktūras būvniecība;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sadales sistēmas modernizēšana un attīstīšana, nodrošinot energoapgādes sistēmas stabilāku darbību un uzlabojot energoapgādes drošumu un kvalitāti;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pārvades un sadales sistēmas digitālās vadības pilnveidošana, ieviešot papildu funkcionalitātes elektroenerģijas pārvades un sadales sistēmas uzraudzībai un attālinātai vadībai, lai nodrošinātu iespējas operatīvi pielāgot sistēmas darbības režīmus, veikt sistēmas konfigurāciju, ņemot vērā konkrētos apstākļus sistēmā un faktiskās izkliedētās ģenerācijas elektrostaciju jaudas, veikt efektīvu jaudas plūsmu pārvaldību sistēmā, kas veicina augstāku elektroenerģijas kvalitāti, piegādes drošību un iespēju sistēmai pieslēgt papildu atjaunojamo energoresursu ražošanas un patēriņa jaudas, paplašināt attālināti vadāmu sprieguma līmeņa kontroles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pārvades tīkla plānošanas pilnveidošana, lai veiktu mērķtiecīgas investīcijas tīkla infrastruktūrā, uzlabotu tīkla vadības kvalitāti un efektivitāti, optimizētu tīkla stāvokli, palielinātu tīkla caurlaides spēju un ļautu pieslēgt papildu atjaunojamo energoresursu pieslēgumu jaudas.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7.1.1.2.i. investīcijas attiecināmās izmaksas, kas ir saistītas ar projektā paredzēto aktivitāšu īstenošanu un projekta mērķu sasniegšanu: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sabiedrībai "Augstsprieguma tīkls":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pilsētas digitālās apakšstacijas izbūve, tai skaitā apakšstacijas 110 kilovoltu sadalnes izbūves projektēšana, pārbūvei nepieciešamo 110 kilovoltu primāro iekārtu un sekundāro iekārtu iegāde un piegāde, 110 kilovoltu transformatoru, kas aprīkoti ar monitoringa sistēmu, iegāde, piegāde un uzstādīšana, būvdarbu veikšana, iekārtu testēšana un apakšstacijas būvdarbu pabeigšana;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Ādažu novada Carnikavas pagasta apakšstacijas pārbūve, tai skaitā 110 kilovoltu sadalnes izbūves projektēšana, pārbūvei nepieciešamo 110 kilovoltu "zaļo" primāro iekārtu un sekundāro iekārtu iegāde un piegāde, būvdarbu veikšana, iekārtu testēšana un apakšstacijas būvdarbu pabeigšana. Šo noteikumu izpratnē "zaļa" iekārta ir iekārta, kurā izolācijas vidi nodrošina videi un klimatam draudzīgas gāzes, salīdzinājumā ar šobrīd plaši pielietotajām iekārtām, kurās izolācijas vidi nodrošina SF</w:t>
      </w:r>
      <w:r w:rsidR="00000000" w:rsidRPr="00000000" w:rsidDel="00000000">
        <w:rPr>
          <w:vertAlign w:val="subscript"/>
          <w:rtl w:val="0"/>
        </w:rPr>
        <w:t xml:space="preserve">6</w:t>
      </w:r>
      <w:r w:rsidR="00000000" w:rsidRPr="00000000" w:rsidDel="00000000">
        <w:rPr>
          <w:rtl w:val="0"/>
        </w:rPr>
        <w:t xml:space="preserve"> gāze;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pētījuma izstrāde par maksimālo atjaunojamo energoresursu daudzuma noteikšanu, ko var pieslēgt elektroenerģijas pārvades tīklam. Pētījuma ietvaros tiek noteikts elektroenerģijas pārvades tīklam pieslēdzamais maksimālais atjaunojamo energoresursu pieslēgumu apjoms dažādos elektroenerģijas pārvades sistēmas attīstības scenārijos, izmantojot inovatīvas tehnoloģijas (līnijas caurlaides spējas dinamiskais monitorings; enerģijas bateriju uzkrājošo sistēmu izmantošana, ražotāju īstermiņa ierobežojumu piemērošana, līnijas pretestības maiņas kompensācijas ierīces, u.c.) un to kombinācijas, veikti aprēķini par atjaunojamo energoresursu apjomu paredzamo ietekmi uz elektroenerģijas pārvades tīkla drošību un stabilitāti un apzināti iespējamie risinājumi šīs ietekmes mazināšanai;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pētījuma izstrāde par Latvijas elektroenerģijas patēriņa pieaugumu un elektrifikācijas potenciālu Latvijā 10 gadu laikposmā, tostarp elektroenerģijas patēriņa un maksimālās elektroenerģijas patēriņa slodzes attīstības iespēju noteikšana un prognozēšanas metodikas izstrāde jaudas pietiekamībai un tīkla attīstības plānošanai;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ietekmes uz vidi novērtējuma izstrāde jaunam Latvijas-Lietuvas elektroenerģijas starpsavienojumam un jaunai 330 kilovoltu līnijai Ventspils-Brocēni-Telši Latvijas teritorijā, kura ietvaros tiek identificēts videi draudzīgākais un izmaksu efektīvākais elektroenerģijas pārvades līnijas būvniecības risinājums;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sabiedrībai "Sadales tīkls":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110 kilovoltu apakšstaciju izbūve un esošo 110 kilovoltu apakšstaciju transformatoru jaudu palielināšana, tai skaitā projektēšana, būvdarbu veikšana, būvuzraudzība, ekspertīze, iekārtu un materiālu iegāde, testēšana, ieregulēšana un pieņemšana ekspluatācijā;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sadales sistēmas gaisvadu līniju pārbūve par elektroenerģijas sadales sistēmas kabeļlīnijām, tai skaitā kabeļlīniju projektēšana un izbūve, iekārtu un materiālu iegāde;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sadales sistēmas viedās pārvaldības risinājuma ieviešanai nepieciešamo esošo informācijas sistēmu un to elementu atjauninājumu, jaunu risinājumu un moduļu iegāde, pārbaude, testēšana un apmācības;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attālināti vadāmu vidsprieguma komutācijas un vadības iekārtu, ar to darbību saistīto iekārtu un materiālu iegādes un uzstādīšanas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izmaksas saskaņā ar šo noteikumu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minētajiem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7.1.1.3.i. investīcijas ietvaros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7.1.1.3.i. investīcijas ietvaros ir atbalstāmas šādas darbības, kas sekmē šo noteikumu </w:t>
      </w:r>
      <w:r w:rsidR="00000000" w:rsidRPr="00000000" w:rsidDel="00000000">
        <w:rPr>
          <w:rtl w:val="0"/>
        </w:rPr>
        <w:t xml:space="preserve">4.3.1.</w:t>
      </w:r>
      <w:r w:rsidR="00000000" w:rsidRPr="00000000" w:rsidDel="00000000">
        <w:rPr>
          <w:rtl w:val="0"/>
        </w:rPr>
        <w:t xml:space="preserve"> , </w:t>
      </w:r>
      <w:r w:rsidR="00000000" w:rsidRPr="00000000" w:rsidDel="00000000">
        <w:rPr>
          <w:rtl w:val="0"/>
        </w:rPr>
        <w:t xml:space="preserve">4.3.2.</w:t>
      </w:r>
      <w:r w:rsidR="00000000" w:rsidRPr="00000000" w:rsidDel="00000000">
        <w:rPr>
          <w:rtl w:val="0"/>
        </w:rPr>
        <w:t xml:space="preserve"> un </w:t>
      </w:r>
      <w:r w:rsidR="00000000" w:rsidRPr="00000000" w:rsidDel="00000000">
        <w:rPr>
          <w:rtl w:val="0"/>
        </w:rPr>
        <w:t xml:space="preserve">4.3.3. </w:t>
      </w:r>
      <w:r w:rsidR="00000000" w:rsidRPr="00000000" w:rsidDel="00000000">
        <w:rPr>
          <w:rtl w:val="0"/>
        </w:rPr>
        <w:t xml:space="preserve">apakšpunktā</w:t>
      </w:r>
      <w:r w:rsidR="00000000" w:rsidRPr="00000000" w:rsidDel="00000000">
        <w:rPr>
          <w:rtl w:val="0"/>
        </w:rPr>
        <w:t xml:space="preserve"> minēto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atjaunojamiem energoresursiem ražota biometāna integrēšana esošajā dabasgāzes pārvades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dabasgāzes pārvades sistēmas projekta īstenošana, kas ietver biometāna ievades punkta izbūvi un informācijas tehnoloģiju risinājuma izstrādi biometāna ievades punkta vadībai un metāna un biometāna noplūdes konstatēšanai un novēršanai.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7.1.1.3. investīcijas attiecināmās izmaksas, kas ir saistītas ar projekta aktivitāšu īstenošanu un projekta mērķu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biometāna ievades punkta izveidošana ar ieejas jaudu dabasgāzes pārvades sistēmā līdz 10 miljoniem kubikmetru gadā, tai skaitā izbūves projektēšana, iekārtu projektēšana, izgatavošana, testēšana, piegāde un uzstādīšana, ievades punkta būvdarbu veikšana, montāža, testēšana, ekspertīžu veikšana, autoruzraudzības veikšana, ieregulēšana, reģistrēšana Valsts bīstamo iekārtu reģistrā un pieņemšana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tehnoloģiju risinājumu iegāde un uzstādīšana biometāna ievades punktu vadībai, lai nodrošinātu šādus pakalpojumus: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biometāna ievades punktu jaudas piekļuves vadība;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biometāna ievades punktu uzskaitīto datu attēlojums dabasgāzes pārvades sistēmas operatora pārvaldītajā sistēmas lietotāju platformā;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biometāna ražotāja un dabasgāzes pārvades sistēmas lietotāju sasaistes uzturēšana attiecībā uz piešķīrumiem vienotās dabasgāzes pārvades ieejas-izejas sistēmas ieejas punktā no biometāna ražošanas iekārtas, tai skaitā minētā ieejas punktu jaudas, nomināciju un piešķīrumu vadība, automātiska datu integrācija starp biometāna ievades uzskaites punktiem un gāzes izcelsmes apliecinājumu reģistru;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metāna un biometāna noplūdes konstatēšanas un novēršanas risinājumu izstrāde un ieviešana;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izmaksas saskaņā ar šo noteikumu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minētajiem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Investīciju attiecināmo izmaksu vispārējie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Investīcijas attiecināmās izmaksas, kas ir saistītas ar projekta vadību, administrēšanu un personāla izmaksām un ko projekta iesniedzējs var iekļaut projekta iesniegumā: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iekšējā audita izmaksas, lai sagatavotu iekšējā audita apliecinājumus;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administrēšanas, vadības un projekta īstenošanas personāla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32.8. </w:t>
      </w:r>
      <w:r w:rsidR="00000000" w:rsidRPr="00000000" w:rsidDel="00000000">
        <w:rPr>
          <w:rtl w:val="0"/>
        </w:rPr>
        <w:t xml:space="preserve">apakšpunktā</w:t>
      </w:r>
      <w:r w:rsidR="00000000" w:rsidRPr="00000000" w:rsidDel="00000000">
        <w:rPr>
          <w:rtl w:val="0"/>
        </w:rPr>
        <w:t xml:space="preserve"> minēto projekta publicitātes un informācijas izplatīšanas pasākumu veikšanai;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neparedzētie izdevumi, nepārsniedzot 2,5 % no konkrētā projekta attiecināmo izmaksu summas.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minētie neparedzētie izdevumi no Atveseļošanas fonda finansējuma ir izmaksu pieaugums, kas radies, ja iepirkuma rezultāts pārsniedz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minētajā iepirkuma plānā norādīto iepirkuma summu, un izdevumi tādu papildu darbu izpildei vai pakalpojumu sniegšanai, kas neparedzamu apstākļu dēļ ir kļuvuši nepieciešami, lai varētu nodrošināt projekta īstenošanu, ja projekta īstenotājs veicis visus pasākumus, lai šādus izdevumus novērstu. Par neparedzamiem apstākļiem šo noteikumu izpratnē uzskata dabas apstākļus (piemēram, ilgstošas lietusgāzes, salu, plūdus), trešo personu radītus apstākļus (piemēram, ceļu satiksmes ierobežojumus), tehniskus iemeslus (piemēram, iepriekš nezināmu grunts sastāva specifiku, hidroģeoloģiskos apstākļus, noplūdes, specifiskus drošības noteikumus). Ja finansējuma saņēmējs radušos izdevumus vēlas segt no neparedzētajiem izdevumiem plānotajiem līdzekļiem, tas jāsaskaņo ar aģentūru, veicot grozījumus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noslēgtajā līgumā un pārceļot attiecīgo finansējumu uz atbilstošo izmaksu pozīciju. Finansējuma saņēmējs dokumentāri pamato, ka radušos izdevumus nebija iespējams paredzēt projekta plānošanas posmā.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sadārdzinājumu sedz finansējuma saņēmējs no saviem līdzekļiem. Par sadārdzinājumu ir uzskatāms tāds sadārdzinājums, kas pārsniedz būvdarba līgumā norādīto būvdarba līgumcenas indeksāciju. Gadījumos, kas nav saistīti ar būvdarbu līgumiem, par sadārdzinājumu ir uzskatāms tāds sadārdzinājums, kas radies tirgus cenu svārstību ietekmē jau pēc noslēgtā līguma ar izpildītāju par konkrētu darījuma summu, apmēru.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nodokļa izmaksas nav attiecināmas finansēšanai no Atveseļošanas fonda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var saņemt Atveseļošanas fonda finansējumu līdz 100 % no attiecināmajām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Investīciju un projektu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saņēmējam ir pieejams avansa maksājums un viens vai vairāki starpposma maksājumi, kas kopsummā nepārsniedz 90 % no projektam piešķirtā Atveseļošanas fonda finansējuma. Avansa maksājuma apmērs nepārsniedz 30 % no projektā paredzētā Atveseļošanas fonda finansējuma apmēra. Noslēguma maksājums projektā nav mazāks par 10 % no projekta Atveseļošanas fonda finansējuma apmēra un tiek izmaksāts pēc projekta pilnīgas pabeigšanas un visu mērķu un rādītāju sasniegšanas. Avansa maksājums, starpposma maksājumi un noslēguma maksājums tiek veikts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minētajā līgumā noteiktajā kārtībā un termiņos.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Izmaksu attiecināmības sākuma datums ir 2022. gada 1. februāris. Netiek atbalstītas darbības, kas jau ir pabeigtas līdz 2023. gada 8.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Uz projektu var attiecināt izmaksas par iekārtām un materiāliem, kas iegādāti pēc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izmaksu attiecināmības sākuma datuma atbilstoši normatīvajiem aktiem publisko iepirkumu jomā un ir piegādāti finansējuma saņēmējam. Ja aktivitāšu īstenošanai ir iesaistīts sadarbības partneris, uz projektu ir attiecināmas izmaksas par aktivitātēm, par kurām projekta iesniedzējs ar sadarbības partneri ir rakstiski vienojušies par īstenojamām aktivitātēm kā projekta daļu.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Projekti tiek īstenoti un to ietvaros noteiktie atskaites punkti un mērķi tiek sasniegti ne vēlāk kā līdz 2026. gada 30. jūnijam. Finansējuma saņēmējs noslēguma maksājuma pieprasījumu un atskaites punktu un mērķu sasniegšanu pamatojošos dokumentus iesniedz ne vēlāk kā līdz 2026. gada 30. jūnijam.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Ieguldījumus infrastruktūrā veic, ja tā ir finansējuma saņēmēja vai sadarbības partnera īpašumā un tiek nodrošināts šo noteikumu </w:t>
      </w:r>
      <w:r w:rsidR="00000000" w:rsidRPr="00000000" w:rsidDel="00000000">
        <w:rPr>
          <w:rtl w:val="0"/>
        </w:rPr>
        <w:t xml:space="preserve">32.9. </w:t>
      </w:r>
      <w:r w:rsidR="00000000" w:rsidRPr="00000000" w:rsidDel="00000000">
        <w:rPr>
          <w:rtl w:val="0"/>
        </w:rPr>
        <w:t xml:space="preserve">apakšpunktā</w:t>
      </w:r>
      <w:r w:rsidR="00000000" w:rsidRPr="00000000" w:rsidDel="00000000">
        <w:rPr>
          <w:rtl w:val="0"/>
        </w:rPr>
        <w:t xml:space="preserve"> minētais nosacījums. Ieguldījumus informācijas tehnoloģiju infrastruktūrā veic, ja tiek nodrošināts šo noteikumu </w:t>
      </w:r>
      <w:r w:rsidR="00000000" w:rsidRPr="00000000" w:rsidDel="00000000">
        <w:rPr>
          <w:rtl w:val="0"/>
        </w:rPr>
        <w:t xml:space="preserve">32.10. </w:t>
      </w:r>
      <w:r w:rsidR="00000000" w:rsidRPr="00000000" w:rsidDel="00000000">
        <w:rPr>
          <w:rtl w:val="0"/>
        </w:rPr>
        <w:t xml:space="preserve">apakšpunktā</w:t>
      </w:r>
      <w:r w:rsidR="00000000" w:rsidRPr="00000000" w:rsidDel="00000000">
        <w:rPr>
          <w:rtl w:val="0"/>
        </w:rPr>
        <w:t xml:space="preserve"> minētais nosacījums.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projekta ietvaros izbūvējamai elektroenerģijas sadales sistēmas infrastruktūrai ir nepieciešama jauna elektroenerģijas pārvades sistēmas infrastruktūras elementa izbūve vai esošo elementu pārbūve vai atjaunošana, kas pēc izbūves kļūst par akciju sabiedrības "Augstsprieguma tīkls" īpašumu, tad izbūves, pārbūves vai atjaunošanas izmaksas sedz šī projekta finansējuma saņēmējs.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saņēmēja un sadarbības partnera (ja attiecināms) pienākumi: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 projektu atbilstoši normatīvajiem aktiem, kas nosaka Atveseļošanas fonda plāna īstenošanas un uzraudzības kārtību;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projektā plānoto darbu sasaisti, sinerģiju un demarkāciju ar citu atbalsta instrumentu investīcijām. Ja ir sasaiste ar citu atbalsta instrumentu investīcijām, finansējuma saņēmējs nodrošina, ka neiestājas dubultā finansējuma risks;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korupcijas, krāpšanas, interešu konflikta neesamību, kā arī parakstīt apliecinājumu par interešu konflikta neesību saskaņā ar regulas Nr. 2018/1046 61. pantu un normatīvajiem aktiem publisko iepirkumu jomā;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ka projekts un atbalstāmās darbības tiek īstenotas saskaņā ar </w:t>
      </w:r>
      <w:r w:rsidR="00000000" w:rsidRPr="00000000" w:rsidDel="00000000">
        <w:rPr>
          <w:rtl w:val="0"/>
        </w:rPr>
        <w:t xml:space="preserve">regulas Nr. 2021/241</w:t>
      </w:r>
      <w:r w:rsidR="00000000" w:rsidRPr="00000000" w:rsidDel="00000000">
        <w:rPr>
          <w:rtl w:val="0"/>
        </w:rPr>
        <w:t xml:space="preserve"> </w:t>
      </w:r>
      <w:r w:rsidR="00000000" w:rsidRPr="00000000" w:rsidDel="00000000">
        <w:rPr>
          <w:rtl w:val="0"/>
        </w:rPr>
        <w:t xml:space="preserve"> 5. panta 2. punktā minēto principu "nenodarīt būtisku kaitējumu", – veic padziļinātu īpaši aizsargājamu sugu ietekmes novērtēšanu, ja šāda nepieciešamība tiks konstatēta, izstrādājot ietekmes uz vidi novērtējumu (tām darbībām, kurām nepieciešams ietekmes uz vidi novērtējums);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 kas nepieciešams projekta īstenošanai, veikt saskaņā ar normatīvajiem aktiem publisko iepirkumu jomā, īstenojot caurspīdīgu, atklātu, pārredzamu, nediskriminējošu un konkurenci nodrošinošu konkursa procedūru. Atbalstāma ir vides prasību integrācija preču un pakalpojumu iepirkumos, kā arī vides pieejamības un izmantojamības nodrošināšana – zaļais publiskais iepirkums, inovāciju iepirkums un sociāli atbildīgs iepirkums;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atsevišķu projekta izdevumu grāmatvedības uzskaiti saskaņā ar normatīvo aktu prasībām grāmatvedības jomā;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Eiropas Komisijas un Latvijas Republikas Atveseļošanas fonda īstenošanas un uzraudzības iestādēm piekļuvi ar projekta īstenošanu saistītajai informācijai un uzrādīt to </w:t>
      </w:r>
      <w:r w:rsidR="00000000" w:rsidRPr="00000000" w:rsidDel="00000000">
        <w:rPr>
          <w:rtl w:val="0"/>
        </w:rPr>
        <w:t xml:space="preserve">Eiropas Komisijas un Latvijas Republikas Atveseļošanas un noturības mehānisma finansēšanas nolīgumā</w:t>
      </w:r>
      <w:r w:rsidR="00000000" w:rsidRPr="00000000" w:rsidDel="00000000">
        <w:rPr>
          <w:rtl w:val="0"/>
        </w:rPr>
        <w:t xml:space="preserve"> un normatīvajos aktos, kas nosaka Atveseļošanas fonda plāna īstenošanas un uzraudzības kārtību, minētajām iestādēm;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informācijas un publicitātes pasākumus saskaņā ar </w:t>
      </w:r>
      <w:r w:rsidR="00000000" w:rsidRPr="00000000" w:rsidDel="00000000">
        <w:rPr>
          <w:rtl w:val="0"/>
        </w:rPr>
        <w:t xml:space="preserve">regulas Nr. 2021/241</w:t>
      </w:r>
      <w:r w:rsidR="00000000" w:rsidRPr="00000000" w:rsidDel="00000000">
        <w:rPr>
          <w:rtl w:val="0"/>
        </w:rPr>
        <w:t xml:space="preserve"> </w:t>
      </w:r>
      <w:r w:rsidR="00000000" w:rsidRPr="00000000" w:rsidDel="00000000">
        <w:rPr>
          <w:rtl w:val="0"/>
        </w:rPr>
        <w:t xml:space="preserve"> 34. panta 2. punktu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10. pantu;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ka projekta ietvaros izveidotā infrastruktūra paliek to īpašumā un tiek uzturēta piecus gadus pēc projekta noslēguma maksājuma. Finansējuma saņēmējs un sadarbības partneris šajā periodā var veikt infrastruktūras pārvietošanu vai pārbūvi, ja tā nepieciešama elektroenerģijas sadales sistēmas, elektroenerģijas pārvades sistēmas vai dabasgāzes pārvades sistēmas attīstības vai uzturēšanas vajadzībām vai bojājumu novēršanai;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nodrošināt projekta ietvaros izveidotās informācijas tehnoloģiju infrastruktūras darbību vismaz trīs gadus pēc projekta noslēguma maksājuma. Finansējuma saņēmējs un sadarbības partneris šajā periodā ir tiesīgs veikt informācijas tehnoloģiju infrastruktūras pārvietošanu, ja tā nepieciešama elektroenerģijas sadales un pārvades sistēmas attīstības vajadzībām vai bojājumu novēršanai;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 ar projekta īstenošanu saistītās dokumentācijas uzglabāšanu un informācijas pieejamību visā projekta īstenošanas laikā un piecus gadus pēc dalībvalstij paredzētā noslēguma maksājuma, bet vismaz līdz 2031.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papildus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minētajiem pienākumiem: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darbdienu laikā pēc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minētā līguma noslēgšanas iesniedz vadības informācijas sistēmā plānoto progresa pārskatu iesniegšanas grafiku, kurā norādīts maksājuma pieprasījumu veids (avansa maksājums, starpposma maksājums, noslēguma maksājums), maksājuma pieprasījuma apmērs un pieprasīšanas laiks, un iepirkumu plānu par visiem projekta īstenošanai plānotajiem iepirkumiem, informāciju par iepirkumu izsludināšanas brīdi (ja attiecināms) un maksājuma pieprasījumu grafiku un, ja nepieciešams, tos aktualizē;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mērķu un rādītāju pilnīgu sasniegšanu noteiktajā laika grafikā;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sadarbības līgumu izpildi un nodrošina, lai vienas un tās pašas darbības netiktu finansētas dubultā;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33.4. nodrošina projekta īstenošanas progresa datu savlaicīgu ievadi vadības informācijas sistēmā. Datus ievada vadības informācijas sistēmā vismaz divas reizes gadā par iepriekšējo kalendāra pusgadu – līdz kārtējā gada 9. janvārim un 9. jūlijam.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minētais finansējuma saņēmējs nodrošina, ka biometāna ievades punktā ievadāms biometāns, kas atbilst normatīvajos aktos noteiktajiem ilgtspējas un siltumnīcefekta gāzu emisiju ietaupījuma kritērijiem.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sadarbības līgumā iekļauj informāciju atbilstoši normatīvajiem aktiem, kas nosaka Atveseļošanas fonda plāna īstenošanas un uzraudzības kārtību un papildus iekļauj vismaz šādas ziņas par sadarbības partneri: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finansējums sadarbības partnerim šo noteikumu </w:t>
      </w:r>
      <w:r w:rsidR="00000000" w:rsidRPr="00000000" w:rsidDel="00000000">
        <w:rPr>
          <w:rtl w:val="0"/>
        </w:rPr>
        <w:t xml:space="preserve">18.2.1.</w:t>
      </w:r>
      <w:r w:rsidR="00000000" w:rsidRPr="00000000" w:rsidDel="00000000">
        <w:rPr>
          <w:rtl w:val="0"/>
        </w:rPr>
        <w:t xml:space="preserve">, </w:t>
      </w:r>
      <w:r w:rsidR="00000000" w:rsidRPr="00000000" w:rsidDel="00000000">
        <w:rPr>
          <w:rtl w:val="0"/>
        </w:rPr>
        <w:t xml:space="preserve">18.2.2.</w:t>
      </w:r>
      <w:r w:rsidR="00000000" w:rsidRPr="00000000" w:rsidDel="00000000">
        <w:rPr>
          <w:rtl w:val="0"/>
        </w:rPr>
        <w:t xml:space="preserve">, </w:t>
      </w:r>
      <w:r w:rsidR="00000000" w:rsidRPr="00000000" w:rsidDel="00000000">
        <w:rPr>
          <w:rtl w:val="0"/>
        </w:rPr>
        <w:t xml:space="preserve">18.2.3.</w:t>
      </w:r>
      <w:r w:rsidR="00000000" w:rsidRPr="00000000" w:rsidDel="00000000">
        <w:rPr>
          <w:rtl w:val="0"/>
        </w:rPr>
        <w:t xml:space="preserve"> un </w:t>
      </w:r>
      <w:r w:rsidR="00000000" w:rsidRPr="00000000" w:rsidDel="00000000">
        <w:rPr>
          <w:rtl w:val="0"/>
        </w:rPr>
        <w:t xml:space="preserve">18.2.4.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un to apjoms;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īstenojamo atbalstāmo darbību kvalitātes kontrole;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partnera pienākumi, atbildība un pārskatu sniegšanas kārtība;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partnerim sasniedzamais iznākuma un rezultāta rādītāja apmērs;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norēķinu kārtība ar sadarbības partneri, tai skaitā tam izmaksātā avansa dzēšanas un atgūšanas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Aģentūrai ir tiesības vienpusēji atkāpties no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noslēgtā līguma jebkurā no šādiem gadījumiem: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līguma nosacījumus, tostarp netiek ievēroti projektā noteiktie termiņi vai ir iestājušies citi apstākļi, kas negatīvi ietekmē vai var ietekmēt projekta vai noteikto rādītāju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gadījumi vai pazīmes, kas saistītas ar interešu konfliktu, korupciju, krāpšanu un dubultā finansējuma pārkāpumu pieļaušanu;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noslēgtais līgums.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24-TA-674</w:t>
    </w:r>
    <w:r>
      <w:br/>
    </w:r>
    <w:r w:rsidR="00000000" w:rsidRPr="00000000" w:rsidDel="00000000">
      <w:rPr>
        <w:rtl w:val="0"/>
      </w:rPr>
      <w:t xml:space="preserve">Izdrukāts 29.07.2026. 22.26 - 1.0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24-TA-674</w:t>
    </w:r>
    <w:r>
      <w:br/>
    </w:r>
    <w:r w:rsidR="00000000" w:rsidRPr="00000000" w:rsidDel="00000000">
      <w:rPr>
        <w:rtl w:val="0"/>
      </w:rPr>
      <w:t xml:space="preserve">Izdrukāts 29.07.2026. 22.26 - 1.0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noteikumu_projekts_24-TA-674.docx</dc:title>
</cp:coreProperties>
</file>

<file path=docProps/custom.xml><?xml version="1.0" encoding="utf-8"?>
<Properties xmlns="http://schemas.openxmlformats.org/officeDocument/2006/custom-properties" xmlns:vt="http://schemas.openxmlformats.org/officeDocument/2006/docPropsVTypes"/>
</file>