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septembrī (prot. Nr. 35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(Latvijas Vēstnesis, 2023, 247. nr.; 2024, 132. nr.; 2025, 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rezultāta rādītājs – atbalstītajās struktūrās izveidotās pētniecības darbvietas – 69 (pilna laika slodzes ekvivalenta izteiksmē);".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doktorantu skaits, kas saņēmuši Eiropas Reģionālās attīstības fonda atbalstu studiju vai zinātniski pētnieciskajam darbam projekta iesniedzēja vai projekta sadarbības partnera institūcijā, – 276;".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7.1.1.1.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7.1.1.2. doktoranti un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pētniecības un attīstības tehniskais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7.2.1.1.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7.2.1.2. doktoranti un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pētniecības un attīstības tehniskais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7.2.3.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"7.2.3.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 ietvaros plānotais kopējais finansējums ir 20 203 800 </w:t>
      </w:r>
      <w:r w:rsidR="00000000" w:rsidRPr="00000000" w:rsidDel="00000000">
        <w:rPr>
          <w:i w:val="1"/>
          <w:rtl w:val="0"/>
        </w:rPr>
        <w:t xml:space="preserve">euro </w:t>
      </w:r>
      <w:r w:rsidR="00000000" w:rsidRPr="00000000" w:rsidDel="00000000">
        <w:rPr>
          <w:rtl w:val="0"/>
        </w:rPr>
        <w:t xml:space="preserve">(tostarp elastības finansējums – 3 018 862 </w:t>
      </w:r>
      <w:r w:rsidR="00000000" w:rsidRPr="00000000" w:rsidDel="00000000">
        <w:rPr>
          <w:i w:val="1"/>
          <w:rtl w:val="0"/>
        </w:rPr>
        <w:t xml:space="preserve">euro</w:t>
      </w:r>
      <w:r w:rsidR="00000000" w:rsidRPr="00000000" w:rsidDel="00000000">
        <w:rPr>
          <w:rtl w:val="0"/>
        </w:rPr>
        <w:t xml:space="preserve">), tai skaitā Eiropas Reģionālās attīstības fonda finansējums – 17 173 230 </w:t>
      </w:r>
      <w:r w:rsidR="00000000" w:rsidRPr="00000000" w:rsidDel="00000000">
        <w:rPr>
          <w:i w:val="1"/>
          <w:rtl w:val="0"/>
        </w:rPr>
        <w:t xml:space="preserve">euro </w:t>
      </w:r>
      <w:r w:rsidR="00000000" w:rsidRPr="00000000" w:rsidDel="00000000">
        <w:rPr>
          <w:rtl w:val="0"/>
        </w:rPr>
        <w:t xml:space="preserve">(tostarp elastības finansējums – 2 566 033 </w:t>
      </w:r>
      <w:r w:rsidR="00000000" w:rsidRPr="00000000" w:rsidDel="00000000">
        <w:rPr>
          <w:i w:val="1"/>
          <w:rtl w:val="0"/>
        </w:rPr>
        <w:t xml:space="preserve">euro</w:t>
      </w:r>
      <w:r w:rsidR="00000000" w:rsidRPr="00000000" w:rsidDel="00000000">
        <w:rPr>
          <w:rtl w:val="0"/>
        </w:rPr>
        <w:t xml:space="preserve">) un valsts budžeta līdzfinansējums – ne mazāk kā 3 030 570 </w:t>
      </w:r>
      <w:r w:rsidR="00000000" w:rsidRPr="00000000" w:rsidDel="00000000">
        <w:rPr>
          <w:i w:val="1"/>
          <w:rtl w:val="0"/>
        </w:rPr>
        <w:t xml:space="preserve">euro </w:t>
      </w:r>
      <w:r w:rsidR="00000000" w:rsidRPr="00000000" w:rsidDel="00000000">
        <w:rPr>
          <w:rtl w:val="0"/>
        </w:rPr>
        <w:t xml:space="preserve">(tostarp elastības finansējums – 452 829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Projektu iesniegumos pasākuma īstenošanai kopējo pasākumam pieejamo finansējumu plāno ne vairāk kā 17 184 938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14 607 197 </w:t>
      </w:r>
      <w:r w:rsidR="00000000" w:rsidRPr="00000000" w:rsidDel="00000000">
        <w:rPr>
          <w:i w:val="1"/>
          <w:rtl w:val="0"/>
        </w:rPr>
        <w:t xml:space="preserve">euro</w:t>
      </w:r>
      <w:r w:rsidR="00000000" w:rsidRPr="00000000" w:rsidDel="00000000">
        <w:rPr>
          <w:rtl w:val="0"/>
        </w:rPr>
        <w:t xml:space="preserve"> apmērā un valsts budžeta līdzfinansējumu – 2 577 741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"18.4. Latvijas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"18.6. Rīgas Tehniskā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Latvijas Universitātei – 7 129 400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 Rīgas Tehniskajai universitātei – 6 911 900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Latvijas Universitātei – 6 088 807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"20.6. Rīgas Tehniskajai universitātei – 5 905 613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Latvijas Universitātes projektā – vismaz 24,25;".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Rīgas Tehniskās universitātes projektā – vismaz 23,5;".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Latvijas Universitātes projektā – vismaz 97, tai skaitā vismaz 6 pētniecisko darbu veic kiberdrošības un mākslīgā intelekta tehnoloģiju izmantošanas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Rīgas Tehniskās universitātes projektā – vismaz 94, tai skaitā vismaz 6 pētniecisko darbu veic kiberdrošības un mākslīgā intelekta tehnoloģiju izmantošanas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Plānojot šo noteikumu 31.1.1. un 31.1.2. apakšpunktā minētās tiešās attiecināmās personāla atlīdzības izmaksas, finansējuma saņēmējs nodrošina, ka projekta vadības un īstenošanas personāls ir nodarbināts pilnu darba laiku vai nepilnu darba laiku, vai daļlaiku, attiecīgi veicot projekta vadības un īstenošanas personāla darba laika uzskaiti par veiktajām funkcijām un nostrādāto laiku."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25-TA-1536</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25-TA-1536</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noteikumu_(grozījumu)_projekts_25-TA-1536.docx</dc:title>
</cp:coreProperties>
</file>

<file path=docProps/custom.xml><?xml version="1.0" encoding="utf-8"?>
<Properties xmlns="http://schemas.openxmlformats.org/officeDocument/2006/custom-properties" xmlns:vt="http://schemas.openxmlformats.org/officeDocument/2006/docPropsVTypes"/>
</file>