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ministriju un citu centrālo valsts iestāžu prioritārajiem pasākumiem 2025., 2026., 2027. un 2028.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24-TA-1999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