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Inspekcijas ziņojums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Inspekcijas ziņojumā ir vismaz šāda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kompetentā iestāde, kas rakstījusi ziņojumu;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inspicēšanas laiks un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inspicētā kuģa 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karoga valsts;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kuģa tips (kā norādīts kuģa drošas vadības apliecībā);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</w:t>
      </w:r>
      <w:r w:rsidR="00000000" w:rsidRPr="00000000" w:rsidDel="00000000">
        <w:rPr>
          <w:i w:val="1"/>
          <w:rtl w:val="0"/>
        </w:rPr>
        <w:t xml:space="preserve">IMO</w:t>
      </w:r>
      <w:r w:rsidR="00000000" w:rsidRPr="00000000" w:rsidDel="00000000">
        <w:rPr>
          <w:rtl w:val="0"/>
        </w:rPr>
        <w:t xml:space="preserve"> identifikācijas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izsaukuma signāls;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tilpība (bruto);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pilna kravnesība (ja nepieciešams);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būves datums, kas norādīts kuģa drošības apliecībā;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viena vai vairākas klasifikācijas sabiedrības, kā arī jebkura cita organizācija, kas attiecīgajam kuģim izdevusi klasifikācijas apliecību (ja tādas ir);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viena vai vairākas atzītās organizācijas, kā arī jebkurš cits subjekts, kas attiecīgajam kuģim karoga valsts vārdā izdevis konvencionālās apliecības;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1.13. kuģošanas sabiedrības nosaukums (vai vārds un uzvārds) un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1.14. ja kuģis pārvadā šķidras vai cietas kravas bez taras, tā fraktētāja nosaukums un adrese, kurš atbild par kuģa izvēli, kā arī frakta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1.15. inspekcijas ziņojuma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1.16. norāde, ka informāciju par inspekciju vai aizturēšanu var publicēt.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Informācija saistībā ar inspekciju: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konvencionālās apliecības, to izdošanas datums un derīguma termiņš, kā arī iestāde vai organizācija, kas izdevusi attiecīgās apliecības;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inspicētās kuģa daļas un elementi (detalizētās vai paplašinātās inspekcijas gadījumā);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osta, kurā veikta iepriekšējā starpposmu, ikgadējā vai atjaunošanas pārbaude, datums, kad pārbaude notikusi, un organizācija, kas pārbaudi veikusi;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inspekcijas tips (sākotnējā inspekcija, detalizētā inspekcija, paplašinātā inspekcija);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trūkumu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veiktie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Papildu informācija, ja kuģis tiek aizturēts: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datums, kad pieņemts lēmums par aizturēšanu;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datums, kad pieņemts lēmums par kuģa atbrīvošanu;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trūkumu raksturs, kuri pamato aizturēšanu (ja nepieciešams, atsauces uz konvencijām);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ja nepieciešams, norāde, vai atzīta organizācija vai cita privāta struktūra, kas veikusi pārbaudi, ir atbildīga par trūkumiem, kas katrs atsevišķi vai visi kopā bijuši par pamatu aizturēšanai;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veiktie pasākumi.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noteikumu_konsolidētā_versija_p10_24-TA-2015.docx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