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Kuģa aizturēšanas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22.10.2013. noteikumiem Nr.1140; MK 21.10.2014. noteikumiem Nr.654)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Pirms lēmuma pieņemšanas par kuģa aizturēšanu ostas valsts kontroles  inspektors piemēro šā pielikuma 3. un 4.punktā minētos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aizturēšanas iemesls ir bojājumi, kas radušies negadījumā, kurš noticis  kuģa pārgājiena laikā uz ostu, lēmumu par kuģa aizturēšanu nepieņem,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pienācīgi izpildītas prasības, kas paredzētas </w:t>
      </w:r>
      <w:r w:rsidR="00000000" w:rsidRPr="00000000" w:rsidDel="00000000">
        <w:rPr>
          <w:i w:val="1"/>
          <w:rtl w:val="0"/>
        </w:rPr>
        <w:t xml:space="preserve">SOLAS</w:t>
      </w:r>
      <w:r w:rsidR="00000000" w:rsidRPr="00000000" w:rsidDel="00000000">
        <w:rPr>
          <w:rtl w:val="0"/>
        </w:rPr>
        <w:t xml:space="preserve"> konvencijas  I/11(c) noteikumā;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pirms ienākšanas ostā kuģa kapteinis vai īpašnieks Kuģošanas drošības  inspekcijā iesniedzis sīku izklāstu par negadījuma apstākļiem un bojājumiem, kā  arī informējis par to, kādas ziņas ir sniegtas karoga valsts administrācijai;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kuģis veic koriģējošas darbības, kas, pēc Kuģošanas drošības inspekcijas  ieskatiem, ir pietiekamas;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pēc ziņojuma saņemšanas par koriģējošo darbību pabeigšanu Kuģošanas  drošības inspekcija ir pārliecinājusies, ka trūkumi, kas apdraudēja kuģošanas  drošību, cilvēku veselību vai apkārtējo vidi, ir novērsti.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Pieņemot lēmumu par kuģa aizturēšanu, ostas valsts kontroles inspektors  ievēro šādus galvenos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kuģi, kura tālāka kuģošana nav droša, aiztur, inspicējot pirmo reizi,  neatkarīgi no tā, cik ilgi plānota kuģa uzturēšanās ostā;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kuģi aiztur, ja trūkumi uz kuģa ir tik nopietni, ka ostas valsts  kontroles inspektors uzskata par nepieciešamu atkārtotā pārbaudē pārliecināties,  vai tie ir novērsti, pirms kuģis dodas jūrā. Nepieciešamība ostas valsts  kontroles inspektoram atkārtoti pārbaudīt kuģi ir trūkumu nopietnības kritērijs.  Kuģošanas drošības inspekcijai jebkuriem līdzekļiem (vislabāk, kuģi atkārtoti  pārbaudot) jāpārliecinās, vai konkrētie trūkumi ir novērsti, pirms kuģis dodas  jūrā.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Pieņemot lēmumu, vai atklātie trūkumi ir pietiekami nopietni, lai kuģi  aizturētu, ostas valsts kontroles inspektors vērtē,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uz kuģa ir attiecīgi derīgi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kuģa apkalpe atbilst apliecībā par kuģa apkalpes minimālo sastāvu  norādītajam;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kuģis un tā apkalpe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droši kuģot visa turpmākā pārgājiena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 droši veikt kravas operācijas, pārvadāt kravu un uzraudzīt tās  stāvokli visa turpmākā pārgājiena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 droši ekspluatēt kuģa mehānismus visa turpmākā pārgājiena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uzturēt atbilstošu dzinējiekārtas un stūres iekārtas darbu visa  turpmākā pārgājiena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ja nepieciešams, dzēst ugunsgrēkus visās kuģa daļās visa turpmākā  pārgājiena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ja nepieciešams, ātri un droši pamest kuģi un veikt glābšanas darbus  visa turpmākā pārgājiena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nepieļaut vides piesārņošanu visa turpmākā pārgājiena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4.3.8. uzturēt pietiekamu kuģa noturību visa turpmākā pārgājiena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4.3.9. uzturēt pietiekamu ūdensnecaurlaidību visa turpmākā pārgājiena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4.3.10. briesmu situācijās nodrošināt sakarus visa turpmākā pārgājiena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4.3.11. nodrošināt drošus un veselībai nekaitīgus apstākļus uz kuģa visa  turpmākā pārgājiena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4.3.12. sniegt maksimālu informāciju, ja notiek negadījums.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atbilde uz kādu no šā pielikuma 4.punktā minētajiem nosacījumiem ir  negatīva, tad, ņemot vērā visu atklāto trūkumu bīstamību, ostas valsts kontroles  inspektors apsver, vai kuģi nepieciešams aizturēt. Vairāku mazāk svarīgu trūkumu  kopums arī var būt par pamatu kuģa aizturēšanai, ja kopā tie rada draudus  kuģošanas drošībai, jūras vides aizsardzībai vai jūrnieku dzīves un darba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Piemēri trūkumiem, kuru dēļ kuģi var aizturēt: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vispārīgie trūkumi: nav derīgu apliecību un citu dokumentu, ko pieprasa  konvencijas vai citi normatīvie akti kuģošanas drošības, jūras vides  aizsardzības un jūrnieku dzīves un darba apstākļu jomā. Tomēr kuģiem, kas  izmanto tādu valstu karogus, kas nav attiecīgo konvenciju līgumslēdzējas puses  vai nav ieviesušas kādu citu normatīvo aktu kuģošanas drošības, jūras vides  aizsardzības un jūrnieku dzīves un darba apstākļu jomā, nav obligāts pienākums  saņemt šajās konvencijās vai citos normatīvajos aktos paredzētās apliecības,  tāpēc minēto apliecību trūkums nevar būt par tiešu iemeslu šo kuģu aizturēšanai.  Taču, piemērojot vienādas attieksmes principu, pirms kuģa iziešanas jūrā  nepieciešama kuģa atbilstība minēto dokumentu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jomas, ko regulē </w:t>
      </w:r>
      <w:r w:rsidR="00000000" w:rsidRPr="00000000" w:rsidDel="00000000">
        <w:rPr>
          <w:i w:val="1"/>
          <w:rtl w:val="0"/>
        </w:rPr>
        <w:t xml:space="preserve">SOLAS</w:t>
      </w:r>
      <w:r w:rsidR="00000000" w:rsidRPr="00000000" w:rsidDel="00000000">
        <w:rPr>
          <w:rtl w:val="0"/>
        </w:rPr>
        <w:t xml:space="preserve"> konvencija (atsauces dotas iekavās):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pienācīgi nedarbojas dzeniekārta vai citi būtiski mehānismi, kā arī  elektroiekārtas;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nav pietiekami tīra mašīntelpa, bilžās ir daudz eļļaina ūdens, cauruļu  izolācija, tai skaitā izplūdes cauruļu izolācija mašīntelpā, ir notraipīta ar  naftas produktiem, pienācīgi nedarbojas bilžu atsūknēšanas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pienācīgi nedarbojas avārijas ģenerators, apgaismojums, akumulatori un  slēdži;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pienācīgi nedarbojas galvenā un avārijas stūres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nav individuālo dzīvības glābšanas līdzekļu, kolektīvo glābšanas  līdzekļu un to nolaišanas iekārtu, glābšanas līdzekļu skaits ir nepietiekams vai  tie ir būtiski nolietojušies;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 nav ugunsgrēka atklāšanas sistēmu, ugunsgrēka trauksmes  signalizācijas, ugunsdzēšanas aprīkojuma, stacionāro ugunsdzēšanas iekārtu,  ventilācijas vārstu, ugunsdrošības aizbīdņu un degvielas padeves ātrās  noslēgšanas ierīču, tās neatbilst prasībām vai arī tās ir būtiski nolietojušās  un nespēj pildīt savas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 uz tankkuģu kravas klāja nav atbilstošu ugunsdzēsības līdzekļu vai tie  ir būtiski nolietojušies vai nedarbojas;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 nav gaitas uguņu, signālzīmju vai skaņu signālu, tie neatbilst  prasībām vai ir būtiski nolietojušies;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 nav radioiekārtu sakaru nodrošināšanai briesmu gadījumos vai drošības  nolūkos vai tās pienācīgi nedarbojas;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 nav atbilstošu navigācijas iekārtu vai tās pienācīgi nedarbojas,  ņemot vērā </w:t>
      </w:r>
      <w:r w:rsidR="00000000" w:rsidRPr="00000000" w:rsidDel="00000000">
        <w:rPr>
          <w:i w:val="1"/>
          <w:rtl w:val="0"/>
        </w:rPr>
        <w:t xml:space="preserve">SOLAS</w:t>
      </w:r>
      <w:r w:rsidR="00000000" w:rsidRPr="00000000" w:rsidDel="00000000">
        <w:rPr>
          <w:rtl w:val="0"/>
        </w:rPr>
        <w:t xml:space="preserve"> konvencijas V/12(o) noteikumu;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 nav koriģētu navigācijas karšu vai citu navigācijas publikāciju, kas  nepieciešamas paredzētajam pārgājienam, ņemot vērā, ka papīra karšu vietā var  izmantot elektronisko karšu attēlošanas un informācijas sistēmu, kas saņēmusi  apstiprinājumu un kas izmanto oficiālus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 kravas sūkņu telpās dzirksteļo izplūdes ventilācija (</w:t>
      </w:r>
      <w:r w:rsidR="00000000" w:rsidRPr="00000000" w:rsidDel="00000000">
        <w:rPr>
          <w:i w:val="1"/>
          <w:rtl w:val="0"/>
        </w:rPr>
        <w:t xml:space="preserve">SOLAS</w:t>
      </w:r>
      <w:r w:rsidR="00000000" w:rsidRPr="00000000" w:rsidDel="00000000">
        <w:rPr>
          <w:rtl w:val="0"/>
        </w:rPr>
        <w:t xml:space="preserve">  konvencijas II-2/59.3.1 noteikums);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 nopietni trūkumi kuģa ekspluatācijas organizācijā, kas noteikta  Parīzes Saprašanās memoranda 1.pielikuma 5.5.sadaļā;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 apkalpes locekļu skaits, komplektācija vai kvalifikācija neatbilst  apliecībā par drošu kuģa minimālo apkalpi norādītajai;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 netiek veikta paplašināto pārbaužu programma saskaņā ar </w:t>
      </w:r>
      <w:r w:rsidR="00000000" w:rsidRPr="00000000" w:rsidDel="00000000">
        <w:rPr>
          <w:i w:val="1"/>
          <w:rtl w:val="0"/>
        </w:rPr>
        <w:t xml:space="preserve">SOLAS</w:t>
      </w:r>
      <w:r w:rsidR="00000000" w:rsidRPr="00000000" w:rsidDel="00000000">
        <w:rPr>
          <w:rtl w:val="0"/>
        </w:rPr>
        <w:t xml:space="preserve">  konvencijas XI nodaļas 2.noteikumu;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jomas, ko regulē Starptautiskais ķīmisko beramkravu (lejamkravu) kodekss  (</w:t>
      </w:r>
      <w:r w:rsidR="00000000" w:rsidRPr="00000000" w:rsidDel="00000000">
        <w:rPr>
          <w:i w:val="1"/>
          <w:rtl w:val="0"/>
        </w:rPr>
        <w:t xml:space="preserve">IBC</w:t>
      </w:r>
      <w:r w:rsidR="00000000" w:rsidRPr="00000000" w:rsidDel="00000000">
        <w:rPr>
          <w:rtl w:val="0"/>
        </w:rPr>
        <w:t xml:space="preserve">) (atsauces dotas iekavās):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tādu vielu pārvadāšana, kas nav minētas piemērotības apliecībā, vai  nav informācijas par kravu (16.2);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nav augsta spiediena drošības iekārtu vai tās ir bojātas (8.2.3);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nedroša vai kodeksa prasībām neatbilstoša elektroinstalācija (10.2.3);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dzirksteļošanas avoti bīstamās vietās (11.3.15);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īpašu prasību pārkāpumi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 pārsniegts maksimāli pieļaujamais kravas daudzums vienā tilpnē (16.1);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 jutīgu produktu nepietiekama siltumizolācija (16.6);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jomas, ko regulē Starptautiskais sašķidrināto gāzu pārvadāšanas kodekss  (</w:t>
      </w:r>
      <w:r w:rsidR="00000000" w:rsidRPr="00000000" w:rsidDel="00000000">
        <w:rPr>
          <w:i w:val="1"/>
          <w:rtl w:val="0"/>
        </w:rPr>
        <w:t xml:space="preserve">IGC</w:t>
      </w:r>
      <w:r w:rsidR="00000000" w:rsidRPr="00000000" w:rsidDel="00000000">
        <w:rPr>
          <w:rtl w:val="0"/>
        </w:rPr>
        <w:t xml:space="preserve">) (atsauces dotas iekavās):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tādu vielu pārvadāšana, kas nav minētas apliecībā par kuģa piemērotību  pārvadāt sašķidrinātu gāzi, starptautiskajā apliecībā par kuģa piemērotību  pārvadāt bīstamas ķīmiskas lejamkravas, apliecībā par kuģa piemērotību pārvadāt  bīstamas ķīmiskas lejamkravas, vai nav informācijas par kravu (18.1);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nav dzīvojamo vai dienesta telpu noslēgšanas ierīču (3.2.6);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 starpsienas nav gāzes necaurlaidīgas (3.3.2);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 bojātas gaisa slūžas (3.6);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 nav ātrās noslēgšanas vārstu vai tie ir bojāti (5.6);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 nav drošības vārstu vai tie ir bojāti (8.2);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 nedroša vai kodeksa prasībām neatbilstoša elektroinstalācija (10.2.4);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 kravas telpās nedarbojas ventilācija (12.1);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6.4.9. nedarbojas kravas tilpņu spiediena trauksmes signalizācija (13.4.1);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6.4.10. bojāts gāzes detektors vai toksiskās gāzes detektors (13.6);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 tiek pārvadātas vielas, kuru darbību nepieciešams nomākt, palēnināt,  ja kuģim nav derīgas inhibitēšanas apliecības (17/19);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jomas, ko regulē LL 66 konvencija: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 uz klāja un korpusa apšuvuma ievērojamās platībās atklāti bojājumi,  korozija vai apšuvuma un ar to saistītā karkasa deformācija, kas ietekmē kuģa  jūrasspēju vai spēju izturēt lokālas slodzes, ja vien nav veikti atbilstoši  pagaidu remontdarbi tā, lai varētu veikt pārgājienu līdz ostai, kur paredzēti  pilnvērtīgi remontdarbi;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 konstatēta kuģa nepietiekama noturība;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 nav pietiekamas un uzticamas informācijas, kas ātri un vienkārši ļautu  kuģa kapteinim iekraut un nostabilizēt kuģi tā, lai droša noturības rezerve  tiktu uzturēta visos mainīgajos pārgājiena apstākļos un netiktu pieļautas  nepieņemamas slodzes uz kuģa konstrukcijām;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6.5.4. nav kuģa atveru noslēgšanas iekārtu, lūku noslēgšanas aprīkojuma un  ūdensnecaurlaidīgu durvju vai tās būtiski nolietotas vai bojātas;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6.5.5. kuģis ir pārkrauts;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6.5.6. nav iegrimes zīmju vai nav iespējams tās nolasīt;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jomas, ko regulē </w:t>
      </w:r>
      <w:r w:rsidR="00000000" w:rsidRPr="00000000" w:rsidDel="00000000">
        <w:rPr>
          <w:i w:val="1"/>
          <w:rtl w:val="0"/>
        </w:rPr>
        <w:t xml:space="preserve">MARPOL</w:t>
      </w:r>
      <w:r w:rsidR="00000000" w:rsidRPr="00000000" w:rsidDel="00000000">
        <w:rPr>
          <w:rtl w:val="0"/>
        </w:rPr>
        <w:t xml:space="preserve"> konvencijas I pielikums (atsauces dotas  iekavās):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 nav naftas produktus saturoša ūdens filtrēšanas aprīkojuma, naftas  izplūdes uzraudzības un kontroles sistēmas vai 15 ppm trauksmes signalizācijas  aprīkojuma vai tas ir būtiski nolietojies vai nedarbojas pieņemami;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 sateču ūdeņu vai naftas produktu atlieku uzglabāšanas tilpņu tilpums  nav pietiekams paredzētajam pārgājienam;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 nav pieejams naftas operāciju žurnāls (20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6.6.4. ierīkots nelikumīgs izplūdes apvedceļš;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 nav apskates ziņojuma vai tas neatbilst </w:t>
      </w:r>
      <w:r w:rsidR="00000000" w:rsidRPr="00000000" w:rsidDel="00000000">
        <w:rPr>
          <w:i w:val="1"/>
          <w:rtl w:val="0"/>
        </w:rPr>
        <w:t xml:space="preserve">MARPOL</w:t>
      </w:r>
      <w:r w:rsidR="00000000" w:rsidRPr="00000000" w:rsidDel="00000000">
        <w:rPr>
          <w:rtl w:val="0"/>
        </w:rPr>
        <w:t xml:space="preserve"> konvencijas  13.G(3)(b) noteikumam;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jomas, ko regulē </w:t>
      </w:r>
      <w:r w:rsidR="00000000" w:rsidRPr="00000000" w:rsidDel="00000000">
        <w:rPr>
          <w:i w:val="1"/>
          <w:rtl w:val="0"/>
        </w:rPr>
        <w:t xml:space="preserve">MARPOL</w:t>
      </w:r>
      <w:r w:rsidR="00000000" w:rsidRPr="00000000" w:rsidDel="00000000">
        <w:rPr>
          <w:rtl w:val="0"/>
        </w:rPr>
        <w:t xml:space="preserve"> konvencijas II pielikums (atsauces dotas  iekavās):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 nav procedūru rokasgrāmatas saskaņā ar </w:t>
      </w:r>
      <w:r w:rsidR="00000000" w:rsidRPr="00000000" w:rsidDel="00000000">
        <w:rPr>
          <w:i w:val="1"/>
          <w:rtl w:val="0"/>
        </w:rPr>
        <w:t xml:space="preserve">MARPOL</w:t>
      </w:r>
      <w:r w:rsidR="00000000" w:rsidRPr="00000000" w:rsidDel="00000000">
        <w:rPr>
          <w:rtl w:val="0"/>
        </w:rPr>
        <w:t xml:space="preserve"> konvencijas  II pielikuma 5.noteikumu (P&amp;A rokasgrāmata);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 krava nav iedalīta kategorijās (3(4));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 nav pieejams kravas žurnāls (9(6));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 tiek pārvadātas naftai līdzīgas vielas, neievērojot attiecīgās  prasības vai bez atbilstoši grozītas apliecības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 ierīkots nelikumīgs izplūdes apvedceļš;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jomas, ko regulē MARPOL konvencijas 73/78 V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 </w:t>
      </w:r>
      <w:r w:rsidR="00000000" w:rsidRPr="00000000" w:rsidDel="00000000">
        <w:rPr>
          <w:rtl w:val="0"/>
        </w:rPr>
        <w:t xml:space="preserve">1. nav atkritumu apsaimniekošanas plāna;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 </w:t>
      </w:r>
      <w:r w:rsidR="00000000" w:rsidRPr="00000000" w:rsidDel="00000000">
        <w:rPr>
          <w:rtl w:val="0"/>
        </w:rPr>
        <w:t xml:space="preserve">2. nav pieejams atkritumu reģistrācijas žurnāls;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 </w:t>
      </w:r>
      <w:r w:rsidR="00000000" w:rsidRPr="00000000" w:rsidDel="00000000">
        <w:rPr>
          <w:rtl w:val="0"/>
        </w:rPr>
        <w:t xml:space="preserve">3. kuģa personāls nepārzina atkritumu apsaimniekošanas plānā  noteiktās atkritumu savākšanas un novadīšanas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jomas, ko regulē </w:t>
      </w:r>
      <w:r w:rsidR="00000000" w:rsidRPr="00000000" w:rsidDel="00000000">
        <w:rPr>
          <w:i w:val="1"/>
          <w:rtl w:val="0"/>
        </w:rPr>
        <w:t xml:space="preserve">STCW</w:t>
      </w:r>
      <w:r w:rsidR="00000000" w:rsidRPr="00000000" w:rsidDel="00000000">
        <w:rPr>
          <w:rtl w:val="0"/>
        </w:rPr>
        <w:t xml:space="preserve"> konvencija un nacionālie normatīvie akti  par jūrnieku minimālo sagatavotības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 apkalpes locekļiem nav atbilstošu apliecību, derīgu pagaidu atļauju  vai arī tie nevar uzrādīt dokumentāru pierādījumu, ka karoga valsts  administrācijai ir iesniegts pieteikums pēc apstiprinājuma;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 ir pierādījumi, ka apliecība ir iegūta krāpšanas ceļā vai apliecības  īpašnieks nav tā persona, kam sākotnēji izdota minētā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 nav ievērotas karoga valsts administrācijas noteiktās apkalpes drošas  komplektēšanas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6.8.4. klāja vai mašīnas sardzes kārtība neatbilst prasībām, kādas konkrētam  kuģim noteikusi karoga valsts administrācija;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6.8.5. sardzē nav personas, kura būtu kvalificēta rīkoties ar drošai  kuģošanai, drošiem radiosakariem vai jūras piesārņošanas novēršanai būtiski  svarīgu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6.8.6. nav apliecinājuma profesionālai piemērotībai veikt pienākumus, kas  jūrniekiem uzdoti attiecībā uz kuģa drošību un piesārņojuma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6.8.7. nespēja nodrošināt pirmo sardzi, uzsākot pārgājienu, vai turpmākās  sardzes maiņas ar apkalpes locekļiem, kas būtu pietiekami atpūtušies un citādi  piemēroti pienākumu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jomas, ko regulē MLC konvencija: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 nav pietiekamu pārtikas krājumu pārgājienam līdz nākamajai ostai;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 nav pietiekamu dzeramā ūdens krājumu pārgājienam līdz nākamajai ostai;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 uz kuģa ir galēji antisanitāri apstākļi;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6.9.4. nav apkures iespēju dzīvojamās telpās uz kuģiem, kuri kuģo rajonos,  kur var būt īpaši zema temperatūra;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6.9.5. nepietiekama ventilācija dzīvojamās telpās uz kuģiem;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6.9.6. higiēnas normām neatbilstoši daudz atkritumu, koridori un dzīvojamās  telpas aizsprostotas ar aprīkojumu vai kravu vai pastāv citi bīstami apstākļi;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6.9.7. ir pierādījumi, ka apkalpes locekļi, kuri nodrošina pirmo sardzi, ir  pārāk noguruši (piemēram, nespēj koncentrēties pienākumu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 apstākļi uz kuģa acīmredzami apdraud jūrnieku drošību un veselību;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6.9.9. neatbilstība ir nopietns (piemēram, uz kuģa nodarbināta, nolīgta vai  strādā persona, kas nav sasniegusi minimālo vecumu) vai atkārtots  MLC konvencijas prasību (arī jūrnieku tiesību) pārkāpums saistībā ar jūrnieku  dzīves un darba apstākļiem uz kuģa, kā noteikts kuģa jūras darbaspēka  sertifikātā un paziņojumā par jūras darbaspēka atbilstību.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Kuģis nav jāaiztur, ja inertās gāzes sistēma vai ar kravu saistīts  aprīkojums, vai mehānismi nedarbojas vai netiek uzturēti atbilstoši to  lietošanas instrukcijām. Tas uzskatāms par pietiekamu pamatu kravas operāciju  apturēšanai.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noteikumu_konsolidētā_versija_p11_24-TA-2015.docx</dc:title>
</cp:coreProperties>
</file>

<file path=docProps/custom.xml><?xml version="1.0" encoding="utf-8"?>
<Properties xmlns="http://schemas.openxmlformats.org/officeDocument/2006/custom-properties" xmlns:vt="http://schemas.openxmlformats.org/officeDocument/2006/docPropsVTypes"/>
</file>