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Komisijai sniedzamās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Kuģošanas drošības inspekcija katru gadu līdz 1.aprīlim sniedz Eiropas  Komisijai šādus datus par iepriekšējo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inspektoru skaits, kuri darbojas tās vārdā ostas valsts kontroles  sistēmā. Šo informāciju iesniedz, aizpildot šādu tabulu: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1664"/>
        <w:gridCol w:w="1664"/>
        <w:gridCol w:w="2047"/>
        <w:gridCol w:w="1664"/>
        <w:tblGridChange w:id="0">
          <w:tblGrid>
            <w:gridCol w:w="2143"/>
            <w:gridCol w:w="1664"/>
            <w:gridCol w:w="1664"/>
            <w:gridCol w:w="2047"/>
            <w:gridCol w:w="1664"/>
          </w:tblGrid>
        </w:tblGridChange>
      </w:tblGrid>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Osta/reģions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laika</w:t>
            </w:r>
            <w:r>
              <w:tab/>
            </w:r>
            <w:r>
              <w:br/>
            </w:r>
            <w:r w:rsidR="00000000" w:rsidRPr="00000000" w:rsidDel="00000000">
              <w:rPr>
                <w:rtl w:val="0"/>
              </w:rPr>
              <w:t xml:space="preserve"> 								inspektoru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Nepilna laika</w:t>
            </w:r>
            <w:r>
              <w:tab/>
            </w:r>
            <w:r>
              <w:br/>
            </w:r>
            <w:r w:rsidR="00000000" w:rsidRPr="00000000" w:rsidDel="00000000">
              <w:rPr>
                <w:rtl w:val="0"/>
              </w:rPr>
              <w:t xml:space="preserve"> 								inspektoru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Nepilna laika inspektoru  								skaita pārrēķins uz pilnu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osta/reģions ...</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osta/reģions ...</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kuģu skaits, kas ienākuši Latvijas ostās. Norāda tikai tos kuģus, uz  kuriem attiecas šie noteikumi. Katru šādu kuģi uzskata par vienu vienību  neatkarīgi no tā, cik reižu minētais kuģis ienācis Latvijas ostās.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Kuģošanas drošības inspekcija iesniedz Eiropas Komisijā: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Latvijas ostās ienākušo kuģu sarakstu, norādot kuģa </w:t>
      </w:r>
      <w:r w:rsidR="00000000" w:rsidRPr="00000000" w:rsidDel="00000000">
        <w:rPr>
          <w:i w:val="1"/>
          <w:rtl w:val="0"/>
        </w:rPr>
        <w:t xml:space="preserve">IMO</w:t>
      </w:r>
      <w:r w:rsidR="00000000" w:rsidRPr="00000000" w:rsidDel="00000000">
        <w:rPr>
          <w:rtl w:val="0"/>
        </w:rPr>
        <w:t xml:space="preserve">  identifikācijas numuru, ienākšanas datumu un ostu (sarakstā nenorāda kuģus, kuri  veic regulāru pasažieru un kravas prāmju satiksmi), – reizi sešos mēnešos.  Sarakstu iesniedz izklājlapas programmas formātā, nodrošinot minētās  informācijas automātiskas ieguves un apstrādes iespēju. Sarakstu iesniedz četru  mēnešu laikā pēc tā perioda beigām, uz kuru attiecas dati;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regulārās pasažieru prāmju satiksmes sarakstus un regulārās kravas  prāmju satiksmes sarakstus, norādot katra kuģa </w:t>
      </w:r>
      <w:r w:rsidR="00000000" w:rsidRPr="00000000" w:rsidDel="00000000">
        <w:rPr>
          <w:i w:val="1"/>
          <w:rtl w:val="0"/>
        </w:rPr>
        <w:t xml:space="preserve">IMO</w:t>
      </w:r>
      <w:r w:rsidR="00000000" w:rsidRPr="00000000" w:rsidDel="00000000">
        <w:rPr>
          <w:rtl w:val="0"/>
        </w:rPr>
        <w:t xml:space="preserve"> identifikācijas  numuru, vārdu un maršrutu, – ne vēlāk kā līdz 2011.gada 1.jūlijam un pēc tam  katru reizi, kad šajā satiksmē ir izmaiņas. Sarakstu iesniedz izklājlapas  programmas formātā, nodrošinot minētās informācijas automātiskas ieguves un  apstrādes iespēju.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noteikumu_konsolidētā_versija_p14_24-TA-2015.docx</dc:title>
</cp:coreProperties>
</file>

<file path=docProps/custom.xml><?xml version="1.0" encoding="utf-8"?>
<Properties xmlns="http://schemas.openxmlformats.org/officeDocument/2006/custom-properties" xmlns:vt="http://schemas.openxmlformats.org/officeDocument/2006/docPropsVTypes"/>
</file>