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Pamatotu iemeslu piemēri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22.10.2013. noteikumiem Nr.1140; MK 21.10.2014. noteikumiem Nr.654)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Pamatoti iemesli detalizētas inspekcijas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Kuģis atbilst Ministru kabineta 2010.gada .21decembra noteikumu Nr.1164  "Ostas valsts kontroles kārtība" 1.pielikuma 19. vai 20.punktā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Nav pienācīgi aizpildīts kuģa naftas operāciju žurnāls.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apliecības un citus dokumentus, atklātas neprecizitātes.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Ir liecības, ka kuģa apkalpes locekļi neatbilst normatīvajos aktos par  jūrnieku minimālo sagatavotības līmeni noteiktajām prasībām, kuras saistītas ar  saziņu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Kuģa kapteiņa, virsnieka vai ierindas jūrnieka kompetences sertifikāts un  (vai) prasmes sertifikāts, un (vai) cits dokumentārs pierādījums ir iegūts  krāpšanas ceļā vai minētā dokumenta īpašnieks nav tā persona, kam sākotnēji  izdots minētais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Kuģa kapteinim, virsniekam vai ierindas jūrniekam kompetences sertifikātu  un (vai) prasmes sertifikātu, un (vai) citu dokumentāru pierādījumu ir izdevusi  valsts, kas nav ratificējusi STCW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Veicot operācijas ar kravu vai citas operācijas, ir pārkāpti drošības  noteikumi vai </w:t>
      </w:r>
      <w:r w:rsidR="00000000" w:rsidRPr="00000000" w:rsidDel="00000000">
        <w:rPr>
          <w:i w:val="1"/>
          <w:rtl w:val="0"/>
        </w:rPr>
        <w:t xml:space="preserve">IMO</w:t>
      </w:r>
      <w:r w:rsidR="00000000" w:rsidRPr="00000000" w:rsidDel="00000000">
        <w:rPr>
          <w:rtl w:val="0"/>
        </w:rPr>
        <w:t xml:space="preserve"> nostādnes (piemēram, skābekļa saturs inertās gāzes  pievadā kravas tilpnēm pārsniedz noteikto maksimāli pieļaujamo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Naftas tankkuģa kapteinis nevar uzrādīt reģistrētus datus par naftas  atsūknēšanas uzraudzības un kontroles sistēmas darbu attiecībā uz pēdējo  pārgājienu balastā.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Nav atjaunots trauksmju saraksts vai apkalpes locekļi nav informēti par  saviem pienākumiem ugunsgrēka gadījumā vai saņemot pavēli pamest kuģi.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Kuģis raidījis viltus trauksmes signālus, bet nav veicis pienācīgas  trauksmes atsaukšanas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Nav konvencijās paredzētā būtiska aprīkojuma vai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 kuģa ir pārmērīgi antisanitāri apstākļi.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Ostas valsts kontroles inspektora novērojumi liecina, ka korpusa vai citu  konstrukciju nodilums vai citi trūkumi var apdraudēt kuģa konstrukciju  integritāti un hermētiskumu.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Ir informācija vai liecības par to, ka kapteinis vai apkalpe nepārzina  būtiskas kuģa operācijas, kas saistītas ar kuģu drošību vai vides piesārņošanas  novēršanu, vai arī tādas kuģa operācijas nav veiktas.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Nav darba laika organizācijas tabulas vai jūrnieku darba un atpūtas  stundu reģistra.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Sūdzība vai inspektora novērojumi liecina, ka jūrnieki ir pārmērīgi  noguruši (nespēj koncentrēties pienākumu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Dokumenti, kas prasīti MLC konvencijā, nav uzrādīti vai  uzturēti, vai satur nepatiesu informāciju, vai uzrādītie dokumenti nesatur  informāciju, kas prasīta MLC konvencijā.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Dzīves un darba apstākļi uz kuģa neatbilst MLC konvencijas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Ir pamatoti iemesli uzskatīt, ka kuģis ir mainījis karogu,  lai izvairītos no atbilstības MLC konvencijai.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Ir iesniegta sūdzība, ka konkrēti darba un dzīves apstākļi uz  kuģa neatbilst MLC konvencijas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Pēc sūdzības izskatīšanas procedūras krastā vai kuģa  dokumentācijas pārbaudes konstatēts, ka iepriekš konstatētās nepilnības nav  novērstas vai izbeigtas vai kuģis ir tādas valsts karoga kuģis, kura nav  ratificējusi MLC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Pamatoti iemesli kuģa padziļinātas aizsardzības  pārbaudes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Starptautiskā kuģa aizsardzības apliecība nav derīga, tai skaitā tai ir  beidzies apliecības derīguma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Kuģa aizsardzības līmenis ir zemāks nekā ostas vai ostas iekārtas  aizsardzības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Nav veiktas apmācības, kas saistītas ar kuģa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Ieraksti reģistrā par pēdējām 10 kuģa un ostas vai kuģa un kuģa  mijiedarbības reizēm nav pilnīgi.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Ir liecības, ka kuģa apkalpes locekļi nav spējīgi sazināties savā starpā.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Ir liecības, ka kuģa aizsardzības pasākumiem ir būtiski trūkumi.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 trešajām personām saņemta informācija (piemēram, ziņojums vai sūdzība)  saistībā ar kuģa aizsardzības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Kuģim ir atkārtoti izdota Starptautiskā kuģa aizsardzības pagaidu  apliecība, un ostas valsts kontroles inspektors pēc profesionāla izvērtējuma  secina, ka viens no iemesliem, kāpēc kuģis vai kuģošanas sabiedrība ir  pieprasījusi šo apliecību, ir izvairīšanās no pilnīgas atbilstības </w:t>
      </w:r>
      <w:r w:rsidR="00000000" w:rsidRPr="00000000" w:rsidDel="00000000">
        <w:rPr>
          <w:i w:val="1"/>
          <w:rtl w:val="0"/>
        </w:rPr>
        <w:t xml:space="preserve">SOLAS</w:t>
      </w:r>
      <w:r w:rsidR="00000000" w:rsidRPr="00000000" w:rsidDel="00000000">
        <w:rPr>
          <w:rtl w:val="0"/>
        </w:rPr>
        <w:t xml:space="preserve">  konvencijas XI-2 nodaļā un Starptautiskā kuģu un ostas iekārtu aizsardzības  kodeksa A daļā noteiktajām prasībām pēc tam, kad beidzies sākotnējais  Starptautiskās kuģa aizsardzības pagaidu apliecības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Par šajā nodaļā neminētiem pamatotiem iemesliem, lai veiktu kuģa  padziļināto aizsardzības pārbaudi, lemj saskaņā ar normatīvajiem aktiem par kuģu  un kuģošanas kompāniju, ostu un ostas iekārtu aizsardzības funkciju izpildi un  uzraudzību.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noteikumu_konsolidētā_versija_p7_24-TA-2015.docx</dc:title>
</cp:coreProperties>
</file>

<file path=docProps/custom.xml><?xml version="1.0" encoding="utf-8"?>
<Properties xmlns="http://schemas.openxmlformats.org/officeDocument/2006/custom-properties" xmlns:vt="http://schemas.openxmlformats.org/officeDocument/2006/docPropsVTypes"/>
</file>