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Kuģu kontroles pamatnostādnes un procedūras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22.10.2013. noteikumiem Nr.1140)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Parīzes Saprašanās memoranda 1.pielikums "Ostas valsts kontroles  procedūras".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Šādas Parīzes Saprašanās memoranda instrukcijas to jaunākajā redakcijā: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</w:t>
      </w:r>
      <w:r w:rsidR="00000000" w:rsidRPr="00000000" w:rsidDel="00000000">
        <w:rPr>
          <w:i w:val="1"/>
          <w:rtl w:val="0"/>
        </w:rPr>
        <w:t xml:space="preserve">Instruction 33/2000/02: Operational Control on Ferries and Passenger  Ships </w:t>
      </w:r>
      <w:r w:rsidR="00000000" w:rsidRPr="00000000" w:rsidDel="00000000">
        <w:rPr>
          <w:rtl w:val="0"/>
        </w:rPr>
        <w:t xml:space="preserve">(Instrukcija 33/2000/02: Pasažieru kuģu un prāmju drošības pasākumu  pārbaude);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</w:t>
      </w:r>
      <w:r w:rsidR="00000000" w:rsidRPr="00000000" w:rsidDel="00000000">
        <w:rPr>
          <w:i w:val="1"/>
          <w:rtl w:val="0"/>
        </w:rPr>
        <w:t xml:space="preserve">Instruction 35/2002/02: Guidelines for PSCOs on Electronic Charts </w:t>
      </w:r>
      <w:r w:rsidR="00000000" w:rsidRPr="00000000" w:rsidDel="00000000">
        <w:rPr>
          <w:rtl w:val="0"/>
        </w:rPr>
        <w:t xml:space="preserve"> (Instrukcija 35/2002/02: Vadlīnijas ostas valsts kontroles inspektoriem par  elektroniskajām kartēm);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</w:t>
      </w:r>
      <w:r w:rsidR="00000000" w:rsidRPr="00000000" w:rsidDel="00000000">
        <w:rPr>
          <w:i w:val="1"/>
          <w:rtl w:val="0"/>
        </w:rPr>
        <w:t xml:space="preserve">Instruction 36/2003/08: Guidance for Inspection on Working and Living  Conditions </w:t>
      </w:r>
      <w:r w:rsidR="00000000" w:rsidRPr="00000000" w:rsidDel="00000000">
        <w:rPr>
          <w:rtl w:val="0"/>
        </w:rPr>
        <w:t xml:space="preserve">(Instrukcija 36/2003/08: Norādījumi par darba un dzīves apstākļu  pārbaudi);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</w:t>
      </w:r>
      <w:r w:rsidR="00000000" w:rsidRPr="00000000" w:rsidDel="00000000">
        <w:rPr>
          <w:i w:val="1"/>
          <w:rtl w:val="0"/>
        </w:rPr>
        <w:t xml:space="preserve">Instruction 37/2004/02: Guidelines in Compliance with STCW 78/95  Convention as Amended </w:t>
      </w:r>
      <w:r w:rsidR="00000000" w:rsidRPr="00000000" w:rsidDel="00000000">
        <w:rPr>
          <w:rtl w:val="0"/>
        </w:rPr>
        <w:t xml:space="preserve">(Instrukcija 37/2004/02: Vadlīnijas atbilstoši </w:t>
      </w:r>
      <w:r w:rsidR="00000000" w:rsidRPr="00000000" w:rsidDel="00000000">
        <w:rPr>
          <w:i w:val="1"/>
          <w:rtl w:val="0"/>
        </w:rPr>
        <w:t xml:space="preserve">STCW</w:t>
      </w:r>
      <w:r w:rsidR="00000000" w:rsidRPr="00000000" w:rsidDel="00000000">
        <w:rPr>
          <w:rtl w:val="0"/>
        </w:rPr>
        <w:t xml:space="preserve">  78/95 konvencijai ar grozījumiem);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</w:t>
      </w:r>
      <w:r w:rsidR="00000000" w:rsidRPr="00000000" w:rsidDel="00000000">
        <w:rPr>
          <w:i w:val="1"/>
          <w:rtl w:val="0"/>
        </w:rPr>
        <w:t xml:space="preserve">Instruction 37/2004/05: Guidelines on the Inspection of Hours of  Work/Rest </w:t>
      </w:r>
      <w:r w:rsidR="00000000" w:rsidRPr="00000000" w:rsidDel="00000000">
        <w:rPr>
          <w:rtl w:val="0"/>
        </w:rPr>
        <w:t xml:space="preserve">(Instrukcija 37/2004/05: Vadlīnijas par darba un atpūtas stundu  pārbaudi);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</w:t>
      </w:r>
      <w:r w:rsidR="00000000" w:rsidRPr="00000000" w:rsidDel="00000000">
        <w:rPr>
          <w:i w:val="1"/>
          <w:rtl w:val="0"/>
        </w:rPr>
        <w:t xml:space="preserve">Instruction 37/2004/10: Guidelines for Port State Control Officers on  Security Aspects </w:t>
      </w:r>
      <w:r w:rsidR="00000000" w:rsidRPr="00000000" w:rsidDel="00000000">
        <w:rPr>
          <w:rtl w:val="0"/>
        </w:rPr>
        <w:t xml:space="preserve">(Instrukcija 37/2004/10: Vadlīnijas</w:t>
      </w:r>
      <w:r w:rsidR="00000000" w:rsidRPr="00000000" w:rsidDel="00000000">
        <w:rPr>
          <w:b w:val="1"/>
          <w:i w:val="1"/>
          <w:rtl w:val="0"/>
        </w:rPr>
        <w:t xml:space="preserve"> </w:t>
      </w:r>
      <w:r w:rsidR="00000000" w:rsidRPr="00000000" w:rsidDel="00000000">
        <w:rPr>
          <w:rtl w:val="0"/>
        </w:rPr>
        <w:t xml:space="preserve">ostas  valsts kontroles inspektoriem par jautājumiem aizsardzības jomā);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</w:t>
      </w:r>
      <w:r w:rsidR="00000000" w:rsidRPr="00000000" w:rsidDel="00000000">
        <w:rPr>
          <w:i w:val="1"/>
          <w:rtl w:val="0"/>
        </w:rPr>
        <w:t xml:space="preserve">Instruction 38/2005/02: Guidelines for PSCOs Checking a Voyage Data  Recorder (VDR) </w:t>
      </w:r>
      <w:r w:rsidR="00000000" w:rsidRPr="00000000" w:rsidDel="00000000">
        <w:rPr>
          <w:rtl w:val="0"/>
        </w:rPr>
        <w:t xml:space="preserve">(Instrukcija 38/2005/02: Vadlīnijas ostas valsts kontroles  inspektoriem, veicot reisa datu reģistrācijas iekārtu pārbaudes (</w:t>
      </w:r>
      <w:r w:rsidR="00000000" w:rsidRPr="00000000" w:rsidDel="00000000">
        <w:rPr>
          <w:i w:val="1"/>
          <w:rtl w:val="0"/>
        </w:rPr>
        <w:t xml:space="preserve">VDR</w:t>
      </w:r>
      <w:r w:rsidR="00000000" w:rsidRPr="00000000" w:rsidDel="00000000">
        <w:rPr>
          <w:rtl w:val="0"/>
        </w:rPr>
        <w:t xml:space="preserve">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</w:t>
      </w:r>
      <w:r w:rsidR="00000000" w:rsidRPr="00000000" w:rsidDel="00000000">
        <w:rPr>
          <w:i w:val="1"/>
          <w:rtl w:val="0"/>
        </w:rPr>
        <w:t xml:space="preserve">Instruction 38/2005/05: Guidelines on MARPOL 73/78 Annex I </w:t>
      </w:r>
      <w:r w:rsidR="00000000" w:rsidRPr="00000000" w:rsidDel="00000000">
        <w:rPr>
          <w:rtl w:val="0"/>
        </w:rPr>
        <w:t xml:space="preserve"> (Instrukcija 38/2005/05: Vadlīnijas par </w:t>
      </w:r>
      <w:r w:rsidR="00000000" w:rsidRPr="00000000" w:rsidDel="00000000">
        <w:rPr>
          <w:i w:val="1"/>
          <w:rtl w:val="0"/>
        </w:rPr>
        <w:t xml:space="preserve">MARPOL </w:t>
      </w:r>
      <w:r w:rsidR="00000000" w:rsidRPr="00000000" w:rsidDel="00000000">
        <w:rPr>
          <w:rtl w:val="0"/>
        </w:rPr>
        <w:t xml:space="preserve">73/78 1.pielikumu);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</w:t>
      </w:r>
      <w:r w:rsidR="00000000" w:rsidRPr="00000000" w:rsidDel="00000000">
        <w:rPr>
          <w:i w:val="1"/>
          <w:rtl w:val="0"/>
        </w:rPr>
        <w:t xml:space="preserve">Instruction 38/2005/07: Guidelines on Control of the Condition  Assessment Scheme (CAS) of Single Hull Oil Tankers </w:t>
      </w:r>
      <w:r w:rsidR="00000000" w:rsidRPr="00000000" w:rsidDel="00000000">
        <w:rPr>
          <w:rtl w:val="0"/>
        </w:rPr>
        <w:t xml:space="preserve">(Instrukcija 38/2005/07:  Vadlīnijas par vienkorpusa naftas tankkuģu stāvokļa novērtējuma shēmu (</w:t>
      </w:r>
      <w:r w:rsidR="00000000" w:rsidRPr="00000000" w:rsidDel="00000000">
        <w:rPr>
          <w:i w:val="1"/>
          <w:rtl w:val="0"/>
        </w:rPr>
        <w:t xml:space="preserve">CAS</w:t>
      </w:r>
      <w:r w:rsidR="00000000" w:rsidRPr="00000000" w:rsidDel="00000000">
        <w:rPr>
          <w:rtl w:val="0"/>
        </w:rPr>
        <w:t xml:space="preserve">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</w:t>
      </w:r>
      <w:r w:rsidR="00000000" w:rsidRPr="00000000" w:rsidDel="00000000">
        <w:rPr>
          <w:i w:val="1"/>
          <w:rtl w:val="0"/>
        </w:rPr>
        <w:t xml:space="preserve">Instruction 39/2006/01: Guidelines for the Port State Control  Officer on the ISM-Code </w:t>
      </w:r>
      <w:r w:rsidR="00000000" w:rsidRPr="00000000" w:rsidDel="00000000">
        <w:rPr>
          <w:rtl w:val="0"/>
        </w:rPr>
        <w:t xml:space="preserve">(Instrukcija 39/2006/01: Vadlīnijas ostas valsts  kontroles inspektoriem par </w:t>
      </w:r>
      <w:r w:rsidR="00000000" w:rsidRPr="00000000" w:rsidDel="00000000">
        <w:rPr>
          <w:i w:val="1"/>
          <w:rtl w:val="0"/>
        </w:rPr>
        <w:t xml:space="preserve">ISM</w:t>
      </w:r>
      <w:r w:rsidR="00000000" w:rsidRPr="00000000" w:rsidDel="00000000">
        <w:rPr>
          <w:rtl w:val="0"/>
        </w:rPr>
        <w:t xml:space="preserve"> kodeksu);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</w:t>
      </w:r>
      <w:r w:rsidR="00000000" w:rsidRPr="00000000" w:rsidDel="00000000">
        <w:rPr>
          <w:i w:val="1"/>
          <w:rtl w:val="0"/>
        </w:rPr>
        <w:t xml:space="preserve">Instruction 39/2006/02: Guidelines for Port State Control Officers  on Control of GMDSS </w:t>
      </w:r>
      <w:r w:rsidR="00000000" w:rsidRPr="00000000" w:rsidDel="00000000">
        <w:rPr>
          <w:rtl w:val="0"/>
        </w:rPr>
        <w:t xml:space="preserve">(Instrukcija 39/2006/02: Vadlīnijas ostas valsts  kontroles inspektoriem par </w:t>
      </w:r>
      <w:r w:rsidR="00000000" w:rsidRPr="00000000" w:rsidDel="00000000">
        <w:rPr>
          <w:i w:val="1"/>
          <w:rtl w:val="0"/>
        </w:rPr>
        <w:t xml:space="preserve">GMDSS</w:t>
      </w:r>
      <w:r w:rsidR="00000000" w:rsidRPr="00000000" w:rsidDel="00000000">
        <w:rPr>
          <w:rtl w:val="0"/>
        </w:rPr>
        <w:t xml:space="preserve"> aprīkojuma pārbaudi);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</w:t>
      </w:r>
      <w:r w:rsidR="00000000" w:rsidRPr="00000000" w:rsidDel="00000000">
        <w:rPr>
          <w:i w:val="1"/>
          <w:rtl w:val="0"/>
        </w:rPr>
        <w:t xml:space="preserve">Instruction 39/2006/03: Optimisation of Banning and Notification  Checklist </w:t>
      </w:r>
      <w:r w:rsidR="00000000" w:rsidRPr="00000000" w:rsidDel="00000000">
        <w:rPr>
          <w:rtl w:val="0"/>
        </w:rPr>
        <w:t xml:space="preserve">(Instrukcija 39/2006/03: Ienākšanas aizlieguma un paziņošanas  kontrolsaraksta optimizēšana);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</w:t>
      </w:r>
      <w:r w:rsidR="00000000" w:rsidRPr="00000000" w:rsidDel="00000000">
        <w:rPr>
          <w:i w:val="1"/>
          <w:rtl w:val="0"/>
        </w:rPr>
        <w:t xml:space="preserve">Instruction 39/2006/10: Guidelines for PSCOs for the Examination of  Ballast Tanks and Main Power Failure Simulation (black-out test) </w:t>
      </w:r>
      <w:r w:rsidR="00000000" w:rsidRPr="00000000" w:rsidDel="00000000">
        <w:rPr>
          <w:rtl w:val="0"/>
        </w:rPr>
        <w:t xml:space="preserve"> (Instrukcija 39/2006/10: Vadlīnijas ostas valsts kontroles inspektoriem balasta  tanku inspekcijai un galvenās elektroenerģijas padeves pārtraukuma  izmēģinājumiem (elektroenerģijas padeves pārtraukuma tests));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</w:t>
      </w:r>
      <w:r w:rsidR="00000000" w:rsidRPr="00000000" w:rsidDel="00000000">
        <w:rPr>
          <w:i w:val="1"/>
          <w:rtl w:val="0"/>
        </w:rPr>
        <w:t xml:space="preserve">Instruction 39/2006/11: Guidance for Checking the Structure of Bulk  Carriers </w:t>
      </w:r>
      <w:r w:rsidR="00000000" w:rsidRPr="00000000" w:rsidDel="00000000">
        <w:rPr>
          <w:rtl w:val="0"/>
        </w:rPr>
        <w:t xml:space="preserve">(Instrukcija 39/2006/11: Norādījumi beramkravu kuģu konstrukciju  inspekcijai);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</w:t>
      </w:r>
      <w:r w:rsidR="00000000" w:rsidRPr="00000000" w:rsidDel="00000000">
        <w:rPr>
          <w:i w:val="1"/>
          <w:rtl w:val="0"/>
        </w:rPr>
        <w:t xml:space="preserve">Instruction 39/2006/12: Code of Good Practice for Port State Control  Officers </w:t>
      </w:r>
      <w:r w:rsidR="00000000" w:rsidRPr="00000000" w:rsidDel="00000000">
        <w:rPr>
          <w:rtl w:val="0"/>
        </w:rPr>
        <w:t xml:space="preserve">(Instrukcija 39/2006/12: Ostas valsts kontroles inspektoru labas  prakses kodekss);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</w:t>
      </w:r>
      <w:r w:rsidR="00000000" w:rsidRPr="00000000" w:rsidDel="00000000">
        <w:rPr>
          <w:i w:val="1"/>
          <w:rtl w:val="0"/>
        </w:rPr>
        <w:t xml:space="preserve">Instruction 40/2007/04: Criteria for Responsibility Assessment of  Recognised Organisations (R/O) </w:t>
      </w:r>
      <w:r w:rsidR="00000000" w:rsidRPr="00000000" w:rsidDel="00000000">
        <w:rPr>
          <w:rtl w:val="0"/>
        </w:rPr>
        <w:t xml:space="preserve">(Instrukcija 40/2007/04: Kritēriji atzītu  organizāciju atbildības novērtēšanai);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</w:t>
      </w:r>
      <w:r w:rsidR="00000000" w:rsidRPr="00000000" w:rsidDel="00000000">
        <w:rPr>
          <w:i w:val="1"/>
          <w:rtl w:val="0"/>
        </w:rPr>
        <w:t xml:space="preserve">Instruction 40/2007/09: Guidelines for Port State Control  Inspections for Compliance with Annex VI of MARPOL </w:t>
      </w:r>
      <w:r w:rsidR="00000000" w:rsidRPr="00000000" w:rsidDel="00000000">
        <w:rPr>
          <w:rtl w:val="0"/>
        </w:rPr>
        <w:t xml:space="preserve">73/78 (Instrukcija  40/2007/09: Vadlīnijas ostas valsts kontroles inspekciju atbilstībai </w:t>
      </w:r>
      <w:r w:rsidR="00000000" w:rsidRPr="00000000" w:rsidDel="00000000">
        <w:rPr>
          <w:i w:val="1"/>
          <w:rtl w:val="0"/>
        </w:rPr>
        <w:t xml:space="preserve">MARPOL</w:t>
      </w:r>
      <w:r w:rsidR="00000000" w:rsidRPr="00000000" w:rsidDel="00000000">
        <w:rPr>
          <w:rtl w:val="0"/>
        </w:rPr>
        <w:t xml:space="preserve">  73/78 6.pielikumam);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</w:t>
      </w:r>
      <w:r w:rsidR="00000000" w:rsidRPr="00000000" w:rsidDel="00000000">
        <w:rPr>
          <w:i w:val="1"/>
          <w:rtl w:val="0"/>
        </w:rPr>
        <w:t xml:space="preserve">Instruction 46/2013/13: Guidelines for inspection on Maritime Labour  Convention, 2006</w:t>
      </w:r>
      <w:r w:rsidR="00000000" w:rsidRPr="00000000" w:rsidDel="00000000">
        <w:rPr>
          <w:rtl w:val="0"/>
        </w:rPr>
        <w:t xml:space="preserve"> (Instrukcija 46/2013/13: Vadlīnijas inspekcijai par  2006.gada Konvenciju par darbu jūrniecībā).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24-TA-2015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24-TA-2015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noteikumu_konsolidētā_versija_p8_24-TA-2015.docx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