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18. jūnija noteikumos Nr. 391 "Ārstniecības personu sertifikācijas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 29. panta pirmo daļu</w:t>
      </w:r>
      <w:r w:rsidR="00000000" w:rsidRPr="00000000" w:rsidDel="00000000">
        <w:rPr>
          <w:rStyle w:val="paragraph"/>
          <w:i w:val="1"/>
          <w:rtl w:val="0"/>
        </w:rPr>
        <w:t xml:space="preserve"> un </w:t>
      </w:r>
      <w:r w:rsidR="00000000" w:rsidRPr="00000000" w:rsidDel="00000000">
        <w:rPr>
          <w:rStyle w:val="paragraph"/>
          <w:i w:val="1"/>
          <w:rtl w:val="0"/>
        </w:rPr>
        <w:t xml:space="preserve">48.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18. jūnija noteikumos Nr. 391 "Ārstniecības personu sertifikācijas kārtība" (Latvijas Vēstnesis, 2024, 119. nr.; 2025, 229.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Sertifikātu izsniedz uz pieciem gadiem, informāciju saglabājot sertificējošās institūcijas reģistrā un nosūtot informatīvu paziņojumu sertificētajai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49.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 Iekšlietu ministrijas Informācijas centrs sniedz informāciju Veselības inspekcijai par spēkā esošiem nolēmumiem, ar kuriem ārstniecības personai kā speciālajam subjektam ir piemērots kriminālsods. Veselības inspekcija saņemto informāciju pārsūta kompetentajai sertifikācijas institūcijai izvērtēšanai, lai lemtu par šīs personas resertifikāciju."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Sagatavojot šo noteikumu 50. punktā minēto priekšlikumu, sertifikācijas komisija ņem vērā, ka par profesionālās un zinātniskās darbības un tālākizglītības pasākumiem sertifikāta derīguma termiņa laikā ārsta un zobārsta pamatspecialitātēs, apakšspecialitātēs vai papildspecialitātēs, kā arī funkcionālo speciālistu pamatspecialitātēs ir nepieciešams iegūt 250 tālākizglītības punktus, pārējo ārstniecības personu profesiju pamatspecialitātēs, apakšspecialitātēs vai papildspecialitātēs – 150 tālākizglītības punktus, ārstnieciskajā vai diagnostiskajā metodē – 100 tālākizglītības punktus, no kuriem vismaz 60 % ir iegūti par profesionālās un zinātniskās darbības un tālākizglītības pasākumiem, kas attiecināmi uz resertificējamās ārstniecības personas profesionālo darbību sertifikātā norādītajā pamatspecialitātē, apakšspecialitātē, papildspecialitātē vai ārstnieciskajā vai diagnostiskajā metodē (par profesionālās un zinātniskās darbības un tālākizglītības pasākumu, kas nav iekļauts šo noteikumu 4. pielikumā  un kuru sertifikācijas komisija vērtē kā nozīmīgu, tālākizglītības punktu skaitu nosaka pēc uzskaitīto aktivitāšu pielīdzināšanas principa), tai skaitā vismaz astoņi tālākizglītības punkti – neatliekamās medicīniskās palīdzības sniegšanas mācībās, kur vismaz četras stundas ir praktiskās mācības."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 iesniegumu tālākizglītības punktu piešķiršanai, kurā sniedz pilnīgu informāciju par pasākuma saturu un formu, tai skaitā norāda pasākuma nosaukumu, katra priekšlasījuma tēmas nosaukumu, pasākuma norises vietu, informāciju par lektoriem (vārds, uzvārds, darbavieta, specialitāte, amats, vai ir apmācīttiesīga ārstniecības persona, vai ir tādas izglītības iestādes mācībspēks, kura īsteno studiju virziena "Veselības aprūpe" medicīniskās izglītības programmu), pasākuma organizatora kontaktinformāciju, cik tālākizglītības punktus un kādām ārstniecības personu pamatspecialitātēm, apakšspecialitātēm vai papildspecialitātēm, vai ārstnieciskajai vai diagnostiskajai metodei lūdz piešķirt;".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73.4.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"73.4. resertificējamā ārstniecības persona iepriekšējā sertifikāta darbības termiņa laikā ir pieļāvusi būtiskus profesionālās darbības vai ētikas normu pārkāpumus."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26-TA-46</w:t>
    </w:r>
    <w:r>
      <w:br/>
    </w:r>
    <w:r w:rsidR="00000000" w:rsidRPr="00000000" w:rsidDel="00000000">
      <w:rPr>
        <w:rtl w:val="0"/>
      </w:rPr>
      <w:t xml:space="preserve">Izdrukāts 18.08.2026. 15.34 - 1.0.VK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26-TA-46</w:t>
    </w:r>
    <w:r>
      <w:br/>
    </w:r>
    <w:r w:rsidR="00000000" w:rsidRPr="00000000" w:rsidDel="00000000">
      <w:rPr>
        <w:rtl w:val="0"/>
      </w:rPr>
      <w:t xml:space="preserve">Izdrukāts 18.08.2026. 15.34 - 1.0.VK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noteikumu_(grozījumu)_projekts_26-TA-46.docx</dc:title>
</cp:coreProperties>
</file>

<file path=docProps/custom.xml><?xml version="1.0" encoding="utf-8"?>
<Properties xmlns="http://schemas.openxmlformats.org/officeDocument/2006/custom-properties" xmlns:vt="http://schemas.openxmlformats.org/officeDocument/2006/docPropsVTypes"/>
</file>