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29. augustā (prot. Nr. 42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(Latvijas Vēstnesis, 2015, 238., 254. nr.; 2016, 194. nr.; 2017, 91., 237. nr.; 2018, 162., 224. nr.; 2019, 32. nr.; 2020, 71C., 146. nr.; 2021, 93. nr.; 2022, 78., 137. nr.; 2023,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20.10.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"20.10.</w:t>
      </w:r>
      <w:r w:rsidR="00000000" w:rsidRPr="00000000" w:rsidDel="00000000">
        <w:rPr>
          <w:vertAlign w:val="superscript"/>
          <w:rtl w:val="0"/>
        </w:rPr>
        <w:t xml:space="preserve">1</w:t>
      </w:r>
      <w:r w:rsidR="00000000" w:rsidRPr="00000000" w:rsidDel="00000000">
        <w:rPr>
          <w:rtl w:val="0"/>
        </w:rPr>
        <w:t xml:space="preserve"> šo noteikumu 14.4. apakšpunktā minēto darbību īstenošanas termiņš ir 2023. gada 31. jūlijs;".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20.10.</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"20.10.</w:t>
      </w:r>
      <w:r w:rsidR="00000000" w:rsidRPr="00000000" w:rsidDel="00000000">
        <w:rPr>
          <w:vertAlign w:val="superscript"/>
          <w:rtl w:val="0"/>
        </w:rPr>
        <w:t xml:space="preserve">3</w:t>
      </w:r>
      <w:r w:rsidR="00000000" w:rsidRPr="00000000" w:rsidDel="00000000">
        <w:rPr>
          <w:rtl w:val="0"/>
        </w:rPr>
        <w:t xml:space="preserve"> šo noteikumu 14.2.3. apakšpunktā minētās darbības īstenošanas termiņš ir 2023. gada 31. oktobris un izmaksas apliecinošie dokumenti jāiesniedz finansējuma saņēmējam triju mēnešu laikā pēc tam, kad ir noslēgusies šo noteikumu 14.2.3. apakšpunktā minētā darbība, bet ne vēlāk kā līdz 2023. gada 30.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23-TA-1581</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23-TA-1581</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noteikumu_(grozījumu)_projekts_23-TA-1581.docx</dc:title>
</cp:coreProperties>
</file>

<file path=docProps/custom.xml><?xml version="1.0" encoding="utf-8"?>
<Properties xmlns="http://schemas.openxmlformats.org/officeDocument/2006/custom-properties" xmlns:vt="http://schemas.openxmlformats.org/officeDocument/2006/docPropsVTypes"/>
</file>