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(Latvijas Vēstnesis, 2023, 179. nr.; 2024, 8., 113.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Kopējais investīcijā pieejamais Atveseļošanas fonda finansējums ir 16 484 846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investīcijas pirmajā atlases kārtā pieejamais kopējais finansējums ir 11 548 055 </w:t>
      </w:r>
      <w:r w:rsidR="00000000" w:rsidRPr="00000000" w:rsidDel="00000000">
        <w:rPr>
          <w:i w:val="1"/>
          <w:rtl w:val="0"/>
        </w:rPr>
        <w:t xml:space="preserve">euro. </w:t>
      </w:r>
      <w:r w:rsidR="00000000" w:rsidRPr="00000000" w:rsidDel="00000000">
        <w:rPr>
          <w:rtl w:val="0"/>
        </w:rPr>
        <w:t xml:space="preserve">Vienam Eiropas digitālās inovācijas centram pirmajā atlases kārtā pieejamais Atveseļošanas fonda finansējuma apmērs nepārsniedz 6 100 000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investīcijas otrajā atlases kārtā pieejamais kopējais finansējums ir 4 936 791 </w:t>
      </w:r>
      <w:r w:rsidR="00000000" w:rsidRPr="00000000" w:rsidDel="00000000">
        <w:rPr>
          <w:i w:val="1"/>
          <w:rtl w:val="0"/>
        </w:rPr>
        <w:t xml:space="preserve">euro</w:t>
      </w:r>
      <w:r w:rsidR="00000000" w:rsidRPr="00000000" w:rsidDel="00000000">
        <w:rPr>
          <w:rtl w:val="0"/>
        </w:rPr>
        <w:t xml:space="preserve">. Vienam projekta iesniegumam otrajā atlases kārtā pieejamais Atveseļošanas fonda maksimālais finansējums nepārsniedz 780 000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ir noteikti šādi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komersantu skaits, kam nodrošināta digitālo pamatprasmju apguve līdz 2024. gada 30. jūnijam, – 628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komersantu skaits, kam nodrošināta digitālo pamatprasmju apguve līdz 2026. gada 30. jūnijam, – 2080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1382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ir noteikts šāds dalījums pa atlases kārtām un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9.4.1. komersantu skaits, kam nodrošināta digitālo pamatprasmju apguve pirmās atlases kārtas ietvaros līdz 2024. gada 30. jūnijam, – 500, viena finansējuma saņēmēja projekta iesniegumā ne mazāk kā 250;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9.4.2. komersantu skaits, kam nodrošināta digitālo pamatprasmju apguve otrās atlases kārtas ietvaros līdz 2024. gada 30. jūnijam, – 125, viena finansējuma saņēmēja projekta iesniegumā ne mazāk kā 20;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9.4.3. komersantu skaits, kam nodrošināta digitālo pamatprasmju apguve pirmās atlases kārtas ietvaros līdz 2026. gada 30. jūnijam, – 1300, viena finansējuma saņēmēja projekta iesniegumā ne mazāk kā 650;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9.4.4. komersantu skaits, kam nodrošināta digitālo pamatprasmju apguve otrās atlases kārtas ietvaros līdz 2026. gada 30. jūnijam, – 780, viena finansējuma saņēmēja projekta iesniegumā ne mazāk kā 100;".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Ja pēc pirmās kārtas ierobežotās atlases, otrās atlases kārtas atklātā konkursa pirmā un otrā uzsaukuma ir palicis pāri finansējums, atbildīgā iestāde lemj par atlikušā finansējuma turpmāku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"24.7.2.1. pasākumus interešu konflikta riska kontrolei (preventīvus pasākumus,  paziņošanas procedūru, labošanas pasākumus u. tml.), tai skaitā ietverot informāciju par interešu konflikta novēršanu saskaņā ar Eiropas Parlamenta un Padomes 2024. gada 23. septembra Regulas (ES, Euratom) 2024/2509 par finanšu noteikumiem, ko piemēro Savienības vispārējam budžetam (pārstrādātā redakcija) (turpmāk - Komisijas regula Nr. 2024/2509), 61.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Projekta iesnieguma iesniedzēju neizslēdz no dalības projektu iesniegumu atlasē un  gala labuma guvēja atbalsta pieteikumu nenoraida, ja no dienas, kad kļuvis neapstrīdams un nepārsūdzams: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tiesas spriedums, prokurora priekšraksts par sodu vai citas institūcijas pieņemtais lēmums saistībā ar šo noteikumu 25.1. vai 25.2. apakšpunktā minētajiem pārkāpumiem, līdz atbalsta pieteikuma iesniegšanas dienai ir pagājuši trīs gadi;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tiesa spriedums vai citas institūcijas pieņemtais lēmums saistībā ar šo noteikumu 25.2.2. vai 25.3. apakšpunktā  minētajiem pārkāpumiem, līdz atbalsta pieteikuma iesniegšanas dienai ir pagājuši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38.2.5.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"38.2.5. ar apmācību organizēšanu saistītās izmaksas, t.sk. izmantojamo telpu un iekārtu nomas izmaksas par apmācību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38.2.6.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"38.2.6. gala labuma guvēja darbinieku izmitināšanas izmaksas, ja gala labuma guvējam atbalsts tiek piešķirts Komisijas regulas Nr. 2023/2831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 ja projekta vadība tiek veikta uz darba līguma pamata, tiek attiecinātas darba vietas aprīkojuma izmaksas (pieļaujama aprīkojuma noma vai nolietojums un jaunradītu darba vietu izmaksas, saskaņā ar 44.1.2.2. apakšpunktā minēto), projekta vadības personāla darba alga un ar to saistītie darba algas nodokļi, transporta izmaksas (maksa par degvielu, transportlīdzekļa noma, transporta pakalpojuma pirkšana, sabiedriskā transporta izmantošana), telpu īre un noma, telpu apsaimniekošanas izmaksas (apkure, elektrība, apsaimniekošanas pakalpojumi, ūdensapgāde), kancelejas preču izmaksas, pasta izdevumi, interneta un telekomunikāciju izmaksas, komandējumu vai darba braucienu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Izmaksas, t.sk. projekta īstenošanas personāla izmaksas, iekļaujot darba devēja valsts sociālās apdrošināšanas obligātās iemaksas, kas nav saistītas ar šo noteikumu 53. , 55. ., 56. punktu , nepārsniedz 20 % no kopējām projekta iesniegumā apstiprinātajām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Ar apmācību organizēšanu saistītās izmaksas, t.sk. izmantojamo telpu un iekārtu nomas izmaksas par apmācību laiku, mācību materiālu izmaksas un ar to saistītā projekta īstenošanas personāla izmaksas, iekļaujot darba devēja valsts sociālās apdrošināšanas obligātās iemaksas, nepārsniedz 15 % no kopējām projekta iesniegumā apstiprinātajām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Konferences organizēšanas izmaksas un informatīvo pasākumu izmaksas t.sk. ar to saistītā projekta īstenošanas personāla izmaksas, iekļaujot darba devēja valsts sociālās apdrošināšanas obligātās iemaksas, lai motivētu gala labuma guvējus attīstīt prasmes, nepārsniedz 15 % no kopējām projekta iesniegumā apstiprinātajām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nodokļi, tai skaitā muitas nodokļi, nodevas un soda maksājumi, izņemot šo noteikumu 44.2.6.1., 38.2.7.1.  apakšpunktā un 53., 54, 55., un 56. punktā minētos valsts sociālās apdrošināšanas obligātās iemaksas gadījumus. Ja šādas izmaksas ir radušās, finansējuma saņēmējs un gala labuma guvējs tās finansē no saviem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63.3.1.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"63.3.1. gala labuma guvējs, kurā nodarbināts apmācītais darbinieks (nosaukums, reģistrācijas numurs, gala labuma guvēja pārstāvētā nozare pēc NACE 2.1. red., komersanta statuss, viedās specializācijas stratēģijā noteiktā 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63.3.3.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63.3.6.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66.16.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"66.16. nodrošināt, ka visas personas, kas iesaistītas lēmuma pieņemšanas procesā par komercdarbības atbalsta piešķiršanu gala labuma guvējam, paraksta šo noteikumu 2. pielikumā minēto objektivitātes, konfidencialitātes un interešu konflikta neesības apliecinājumu. Gala labuma guvējs apliecinājumu paraksta pirms iesnieguma iesniegšanas finansējuma saņēmējam. Apliecinājumu finansējuma saņēmējs glabā atbilstoši Komisijas regulas Nr. 2024/2509 132.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nodrošināt korupcijas, krāpšanas un interešu konflikta novēršanas principu pārbaudes saskaņā ar Komisijas regulas Nr. 2024/2509 61. pantu, kā arī dubultfinansējuma riska novēršanas un sasniegto mērķu pamatojošās dokumentācijas pārbaudes izlases veidā, tai skaitā datu ticamības pārbaudes par lēmuma pieņemšanas procesā iesaistītajām personām un atbalsta piešķiršanu finansējuma saņēmēja, gala labuma guvēja un tā darbinieka un pakalpojuma sniedzēja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76.2.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"76.2. kārtību, kādā tiek veikta mērķus pamatojošās dokumentācijas pārbaude, tai skaitā datu ticamības pārbaudes un pārbaudes aģentūras līmenī un finansējuma saņēmēja līmenī, kā arī finansējuma saņēmēja un gala labuma guvēju līmenī, lai investīcijas īstenošanas laikā novērstu korupciju, krāpšanu, dubultfinansējuma risku un interešu konfliktu saskaņā ar Komisijas regulas Nr. 2024/2509 61.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79.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Ja finansējuma saņēmējs de minimis atbalsta uzskaites sistēmā redz visu nepieciešamo informāciju par gala labuma guvēju, lai piešķirtu atbalstu, gala labuma guvējs de minimis atbalsta veidlapu finansējuma saņēmējam var neiesniegt."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Atbalsts gala labuma guvējam un finansējuma saņēmējam netiek sniegts, ja mācības tiek sniegtas saistībā ar šādām jomām vai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 Komisijas regulas Nr. 2023/2831 1. panta 1. punktā noteiktajās neatbalstāmajās nozarēs vai veic Komisijas regulas Nr. 2923/2831 1. panta 1. punktā noteiktās neatbalstāmās darbības un pretendē uz komercdarbības atbalstu saskaņā ar Komisijas regulu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80.2. ieroču un munīcijas tirdzniecībā (Saimniecisko darbību statistiskās klasifikācijas Eiropas Kopienā 2. redakcijas 1. atjauninājuma (turpmāk – NACE 2.1. red.), klase 47.78 "Citu jaunu preču mazumtirdzniecība");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80.3. azartspēļu un derību nozarē (NACE 2.1.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80.4. tabakas izstrādājumu ražošanā un tirdzniecībā (NACE 2.1. red. 12. nodaļa "Tabakas izstrādājumu ražošana", klase 47.26 "Tabakas izstrādājumu vairumtirdzniecība" un grupa 47.26 "Tabakas izstrādājumu mazumtirdzniecība");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80.5. finanšu un apdrošināšanas jomā (NACE 2.1. red. K sadaļa "Finanšu un apdrošināšanas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80.6. operācijas ar nekustamo īpašumu (NACE 2.1. red. Klase 68.11 "Sava nekustama īpašuma pirkšana un pārdošana" un klase 68.31"Starpniecības pakalpojumi operācijās ar nekustamo īpašumu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80.7. saistībā ar naftas pārstrādes produktiem un fosilā kurināmā produktu ražošanu;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80.8. ar kvotu tirdzniecības sistēmu, lai sasniegtu prognozētās CO</w:t>
      </w:r>
      <w:r w:rsidR="00000000" w:rsidRPr="00000000" w:rsidDel="00000000">
        <w:rPr>
          <w:vertAlign w:val="subscript"/>
          <w:rtl w:val="0"/>
        </w:rPr>
        <w:t xml:space="preserve">2 </w:t>
      </w:r>
      <w:r w:rsidR="00000000" w:rsidRPr="00000000" w:rsidDel="00000000">
        <w:rPr>
          <w:rtl w:val="0"/>
        </w:rPr>
        <w:t xml:space="preserve">emisijas;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80.9. atkritumu savākšanā, apstrādē un izvietošanā, materiālu pārstrādē (NACE 2.1. red. grupa 38.3 "Atkritumu likvidēšana bez resursu atgūšanas”)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80.10. Komisijas regulas Nr. 651/2014 1. panta 2. punkta "c" un "d" apakšpunktā noteiktajās neatbalstāmajās nozarēs un darbībās un pretendē uz komercdarbības atbalstu saskaņā ar Komisijas regulu Nr. 651/2014;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80.11. Komisijas regulas Nr. 651/2014 13. panta "a", "b", "c", "d" apakšpunktā noteiktajās neatbalstāmajās nozarēs un darbībās un pretendē uz komercdarbības atbalstu saskaņā ar Komisijas regulu Nr. 651/2014;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80.12. Komisijas regulas Nr. 651/2014 1. panta 3. punktā noteiktajās neatbalstāmajās nozarēs un darbībās atbilstoši Komisijas regulas Nr. 651/2014 2. panta 8., 9., 10. un 11. punktā noteiktajām definīcijām un pretendē uz komercdarbības atbalstu saskaņā ar Komisijas regulu Nr. 651/2014."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Ja finansējuma saņēmējs vai gala labuma guvējs pretendē uz Komisijas regulas Nr. 2023/2831 atbalsta saņemšanu un vienlaikus darbojas vienā vai vairākās Komisijas regulas Nr. 2023/2831 1. panta 1. punkta "a", "b", "c" un "d" apakšpunktā minētajās nozarēs, atbalstu drīkst piešķirt, ja tas nodrošina šo nozaru darbību vai uzskaites nodalīšanu, lai saskaņā ar Komisijas regulas Nr.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 Ja finansējuma saņēmējs vai gala labuma guvējs vienlaikus darbojas vienā vai vairākās nozarēs, kas minētas šo noteikumu 80.2., 80.3., 80.4., 80.5.["Kļūda! Atsauces avots nav atrasts."] , 80.5., 80.6., 80.7., 80.8. un 80.9.  apakšpunktā, tas nodrošina šo nozaru darbību vai uzskaites nodalīšanu, lai darbības izslēgtajās nozarēs negūtu labumu no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Pieļaujamā finansējuma intensitāte, saņemot atbalstu no Komisijas regulas Nr. 651/2014  no projekta kopējām izmaksām nevar pārsniegt: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sīkajiem (mikro) un mazajiem komersantiem – 70 %;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vidējiem komersantiem – 60 %;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87.3. lielajiem komersantiem – 50 %;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87.4. finansējuma saņēmējam viena vienota uzņēmumu līmenī visās atlases kārtās projekta vadības un informatīvo pasākumu un konferences organizēšanas izmaksu segšanai – 100 %, nepārsniedzot šo noteikumu 53. un 56. punktā minēto ierobežojumu;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87.5. finansējuma saņēmējam pirmajā atlases kārtā šo noteikumu 38.1.1. apakšpunktā minēto izmaksu segšanai –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87.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Pieļaujamā finansējuma intensitāte, saņemot atbalstu no Komisijas regulas Nr. 2023/2831, no projekta kopējām izmaksām ir 100%.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1. finansējuma saņēmējam viena vienota uzņēmumu līmenī visās atlases kārtās projekta vadības un informatīvo pasākumu un konferences organizēšanas izmaksu segšanai – 100 %, nepārsniedzot šo noteikumu 53. un 56. punktā minēto ierobežojumu;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finansējuma saņēmējam pirmajā atlases kārtā šo noteikumu 38.1.1. apakšpunktā  minēto izmaksu segšanai – 100 %.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24-TA-2284</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24-TA-2284</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noteikumu_(grozījumu)_projekts_24-TA-2284.docx</dc:title>
</cp:coreProperties>
</file>

<file path=docProps/custom.xml><?xml version="1.0" encoding="utf-8"?>
<Properties xmlns="http://schemas.openxmlformats.org/officeDocument/2006/custom-properties" xmlns:vt="http://schemas.openxmlformats.org/officeDocument/2006/docPropsVTypes"/>
</file>