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30. septembra noteikumos Nr. 587 "Valsts sociālās politikas monitoringa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un</w:t>
      </w:r>
      <w:r>
        <w:br/>
      </w:r>
      <w:r w:rsidR="00000000" w:rsidRPr="00000000" w:rsidDel="00000000">
        <w:rPr>
          <w:rStyle w:val="paragraph"/>
          <w:i w:val="1"/>
          <w:rtl w:val="0"/>
        </w:rPr>
        <w:t xml:space="preserve">sociālās palīdzības likuma</w:t>
      </w:r>
      <w:r w:rsidR="00000000" w:rsidRPr="00000000" w:rsidDel="00000000">
        <w:rPr>
          <w:rStyle w:val="paragraph"/>
          <w:i w:val="1"/>
          <w:rtl w:val="0"/>
        </w:rPr>
        <w:t xml:space="preserve"> 12. panta septīto un astoto daļu,</w:t>
      </w:r>
      <w:r>
        <w:br/>
      </w:r>
      <w:r w:rsidR="00000000" w:rsidRPr="00000000" w:rsidDel="00000000">
        <w:rPr>
          <w:rStyle w:val="paragraph"/>
          <w:i w:val="1"/>
          <w:rtl w:val="0"/>
        </w:rPr>
        <w:t xml:space="preserve">13. panta pirmās daļas 15. punktu, 14. panta trešo daļu </w:t>
      </w:r>
      <w:r>
        <w:br/>
      </w:r>
      <w:r w:rsidR="00000000" w:rsidRPr="00000000" w:rsidDel="00000000">
        <w:rPr>
          <w:rStyle w:val="paragraph"/>
          <w:i w:val="1"/>
          <w:rtl w:val="0"/>
        </w:rPr>
        <w:t xml:space="preserve">un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 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30. septembra noteikumos Nr. 587 "Valsts sociālās politikas monitoringa informācijas sistēmas noteikumi" (Latvijas Vēstnesis, 2014, 198. nr.; 2017, 26. nr.; 2019, 255. nr.; 2021, 77. nr.; 2022, 220. nr.; 2023, 44. nr.; 2024, 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Sociālo pakalpojumu unsociālās palīdzības likuma 12. panta septīto un astoto daļu,13. panta pirmās daļas 15. punktu, 14. panta trešo daļu un Invaliditātes likuma 12. panta astoto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Personu reģistrā iekļauj ziņas par valsts finansētu sociālās rehabilitācijas pakalpojumu vardarbībā cietušajām pilngadīgajām personām un vardarbību veikušajām pilngadīgajām personām, valsts finansētu atbalsta pasākumu piešķiršanu pilngadību sasniegušai personai (Ministru kabineta 2005. gada 15. novembra noteikumu Nr. 857 "Noteikumi par sociālajām garantijām bārenim un bez vecāku gādības palikušajam bērnam, kurš ir ārpusģimenes aprūpē, kā arī pēc ārpusģimenes aprūpes beigšanās" 1.2. un 1.3. apakšpunktā minētām personām), ilgstošas sociālās aprūpes un sociālās rehabilitācijas pakalpojumu, asistenta pakalpojumu personām ar invaliditāti, ko sniedz pašvaldībā, augstskolā vai koledžā, psihosociālās rehabilitācijas pakalpojumu paliatīvajā aprūpē esošajiem bērniem un viņu ģimenes locekļiem, psihosociālās rehabilitācijas pakalpojumu personām ar onkoloģisku slimību un viņu tuviniekiem, valsts budžeta līdzfinansētu grupu mājas (dzīvokļa) pakalpojumu, valsts finansētu pavadoņa pakalpojumu personām ar invaliditāti no piecu līdz 18 gadu vecumam, sociālās rehabilitācijas pakalpojumu personām ar redzes vai dzirdes invaliditāti un surdotulka pakalpojumu, par valsts finansētajiem tehniskajiem palīglīdzekļiem un tehnisko palīglīdzekļu pakalpojumu, kā arī par atbalsta personas lēmumu pieņemšanā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Informācijas sistēmas sadaļā "Personu reģistrs" iekļauj šādus datus par atbalsta personas lēmumu pieņemšanā pakalpojumu: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1. datums, kad reģistrēts personas iesniegums par pakalpojuma nepieciešamību vai atteikšanos no pakalpojuma;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 pakalpojuma sniedzēja lēmumi: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2.1. lēmuma datums un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2.2. lēmuma veids – piešķirt, uzņemt rindā vai atteikt pakalpojumu (atteikšanas iemesls), priekšlaicīgi izbeigt pakalpojumu (izbeigšanas iemesls);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3. pakalpojuma sniegšanas termiņš, atbalsta jomas, intensitātes līmenis, apjoms un atzīme, ka pakalpojumu saņem pirmo reizi vai atkārtoti;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4. atbalsta personas vārds (vārdi), uzvārds,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5. informācija par pakalpojuma finanšu izlietojumu un rezultatīvo rādītāju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6. pakalpojuma sniedzēja pārskati par pakalpojuma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 Informācijas sistēmas sadaļā "Personu reģistrs" iekļauj šādus datus par atbalsta pasākumu sniegšānu pilngadību sasniegušai personai: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 informāciju par atbalsta saņēmēju: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1.1. vārds (vārdi), uzvārds,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1.2. dzīvesvieta atbalsta pasākuma saņemšanas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1.3. ja turpina uzturēties pie bijušā aprūpētāja (aizbildnis, audžuģimene), tā vārds (vārdi), uzvārds,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2. atbalsta pasākuma piešķiršanas, pārtraukšanas vai izbeigšanas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3. piešķirtā atbalsta pasākuma veidu (veidus), apjomu un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4. atbalsta pasākuma pārtraukšanas vai izbeigšanas iemeslu;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5. informāciju par finansējuma faktisko izlietojumu."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15.</w:t>
      </w:r>
      <w:r w:rsidR="00000000" w:rsidRPr="00000000" w:rsidDel="00000000">
        <w:rPr>
          <w:vertAlign w:val="superscript"/>
          <w:rtl w:val="0"/>
        </w:rPr>
        <w:t xml:space="preserve">2</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2. informācija par Bērnu aizsardzības centra pieņemtajiem lēmumiem attiecībā uz atbalsta centra statusu (lēmuma veids, datums, numurs, apstrīdēšana, spēkā stāšanās datums) un veiktajām pārbaudēm (datums, akta numurs, pārbaudes veicējs);".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sadaļas "Personu reģistrs" aizpildīšanai – šo noteikumu 8., 9., 10., 10.</w:t>
      </w:r>
      <w:r w:rsidR="00000000" w:rsidRPr="00000000" w:rsidDel="00000000">
        <w:rPr>
          <w:vertAlign w:val="superscript"/>
          <w:rtl w:val="0"/>
        </w:rPr>
        <w:t xml:space="preserve">1</w:t>
      </w:r>
      <w:r w:rsidR="00000000" w:rsidRPr="00000000" w:rsidDel="00000000">
        <w:rPr>
          <w:rtl w:val="0"/>
        </w:rPr>
        <w:t xml:space="preserve">, 10.</w:t>
      </w:r>
      <w:r w:rsidR="00000000" w:rsidRPr="00000000" w:rsidDel="00000000">
        <w:rPr>
          <w:vertAlign w:val="superscript"/>
          <w:rtl w:val="0"/>
        </w:rPr>
        <w:t xml:space="preserve">2</w:t>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11.</w:t>
      </w:r>
      <w:r w:rsidR="00000000" w:rsidRPr="00000000" w:rsidDel="00000000">
        <w:rPr>
          <w:vertAlign w:val="superscript"/>
          <w:rtl w:val="0"/>
        </w:rPr>
        <w:t xml:space="preserve">2</w:t>
      </w:r>
      <w:r w:rsidR="00000000" w:rsidRPr="00000000" w:rsidDel="00000000">
        <w:rPr>
          <w:rtl w:val="0"/>
        </w:rPr>
        <w:t xml:space="preserve">, 12., 13., 13.</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 13.</w:t>
      </w:r>
      <w:r w:rsidR="00000000" w:rsidRPr="00000000" w:rsidDel="00000000">
        <w:rPr>
          <w:vertAlign w:val="superscript"/>
          <w:rtl w:val="0"/>
        </w:rPr>
        <w:t xml:space="preserve">3</w:t>
      </w:r>
      <w:r w:rsidR="00000000" w:rsidRPr="00000000" w:rsidDel="00000000">
        <w:rPr>
          <w:rtl w:val="0"/>
        </w:rPr>
        <w:t xml:space="preserve"> , 13.</w:t>
      </w:r>
      <w:r w:rsidR="00000000" w:rsidRPr="00000000" w:rsidDel="00000000">
        <w:rPr>
          <w:vertAlign w:val="superscript"/>
          <w:rtl w:val="0"/>
        </w:rPr>
        <w:t xml:space="preserve">4</w:t>
      </w:r>
      <w:r w:rsidR="00000000" w:rsidRPr="00000000" w:rsidDel="00000000">
        <w:rPr>
          <w:rtl w:val="0"/>
        </w:rPr>
        <w:t xml:space="preserve">, 13. </w:t>
      </w:r>
      <w:r w:rsidR="00000000" w:rsidRPr="00000000" w:rsidDel="00000000">
        <w:rPr>
          <w:vertAlign w:val="superscript"/>
          <w:rtl w:val="0"/>
        </w:rPr>
        <w:t xml:space="preserve">7</w:t>
      </w:r>
      <w:r w:rsidR="00000000" w:rsidRPr="00000000" w:rsidDel="00000000">
        <w:rPr>
          <w:rtl w:val="0"/>
        </w:rPr>
        <w:t xml:space="preserve"> un 13. </w:t>
      </w:r>
      <w:r w:rsidR="00000000" w:rsidRPr="00000000" w:rsidDel="00000000">
        <w:rPr>
          <w:vertAlign w:val="superscript"/>
          <w:rtl w:val="0"/>
        </w:rPr>
        <w:t xml:space="preserve">8</w:t>
      </w:r>
      <w:r w:rsidR="00000000" w:rsidRPr="00000000" w:rsidDel="00000000">
        <w:rPr>
          <w:vertAlign w:val="superscript"/>
          <w:rtl w:val="0"/>
        </w:rPr>
        <w:t xml:space="preserve"> </w:t>
      </w:r>
      <w:r w:rsidR="00000000" w:rsidRPr="00000000" w:rsidDel="00000000">
        <w:rPr>
          <w:rtl w:val="0"/>
        </w:rPr>
        <w:t xml:space="preserve">punktā minētos datus. Šo noteikumu 10.</w:t>
      </w:r>
      <w:r w:rsidR="00000000" w:rsidRPr="00000000" w:rsidDel="00000000">
        <w:rPr>
          <w:vertAlign w:val="superscript"/>
          <w:rtl w:val="0"/>
        </w:rPr>
        <w:t xml:space="preserve">2 </w:t>
      </w:r>
      <w:r w:rsidR="00000000" w:rsidRPr="00000000" w:rsidDel="00000000">
        <w:rPr>
          <w:rtl w:val="0"/>
        </w:rPr>
        <w:t xml:space="preserve">6., 11.</w:t>
      </w:r>
      <w:r w:rsidR="00000000" w:rsidRPr="00000000" w:rsidDel="00000000">
        <w:rPr>
          <w:vertAlign w:val="superscript"/>
          <w:rtl w:val="0"/>
        </w:rPr>
        <w:t xml:space="preserve">1 </w:t>
      </w:r>
      <w:r w:rsidR="00000000" w:rsidRPr="00000000" w:rsidDel="00000000">
        <w:rPr>
          <w:rtl w:val="0"/>
        </w:rPr>
        <w:t xml:space="preserve">10., 11.</w:t>
      </w:r>
      <w:r w:rsidR="00000000" w:rsidRPr="00000000" w:rsidDel="00000000">
        <w:rPr>
          <w:vertAlign w:val="superscript"/>
          <w:rtl w:val="0"/>
        </w:rPr>
        <w:t xml:space="preserve">2 </w:t>
      </w:r>
      <w:r w:rsidR="00000000" w:rsidRPr="00000000" w:rsidDel="00000000">
        <w:rPr>
          <w:rtl w:val="0"/>
        </w:rPr>
        <w:t xml:space="preserve">10., 13.7., 13.8., 13.9., 13.</w:t>
      </w:r>
      <w:r w:rsidR="00000000" w:rsidRPr="00000000" w:rsidDel="00000000">
        <w:rPr>
          <w:vertAlign w:val="superscript"/>
          <w:rtl w:val="0"/>
        </w:rPr>
        <w:t xml:space="preserve">1 </w:t>
      </w:r>
      <w:r w:rsidR="00000000" w:rsidRPr="00000000" w:rsidDel="00000000">
        <w:rPr>
          <w:rtl w:val="0"/>
        </w:rPr>
        <w:t xml:space="preserve">10., 13.</w:t>
      </w:r>
      <w:r w:rsidR="00000000" w:rsidRPr="00000000" w:rsidDel="00000000">
        <w:rPr>
          <w:vertAlign w:val="superscript"/>
          <w:rtl w:val="0"/>
        </w:rPr>
        <w:t xml:space="preserve">2 </w:t>
      </w:r>
      <w:r w:rsidR="00000000" w:rsidRPr="00000000" w:rsidDel="00000000">
        <w:rPr>
          <w:rtl w:val="0"/>
        </w:rPr>
        <w:t xml:space="preserve">6., 13.</w:t>
      </w:r>
      <w:r w:rsidR="00000000" w:rsidRPr="00000000" w:rsidDel="00000000">
        <w:rPr>
          <w:vertAlign w:val="superscript"/>
          <w:rtl w:val="0"/>
        </w:rPr>
        <w:t xml:space="preserve">3 </w:t>
      </w:r>
      <w:r w:rsidR="00000000" w:rsidRPr="00000000" w:rsidDel="00000000">
        <w:rPr>
          <w:rtl w:val="0"/>
        </w:rPr>
        <w:t xml:space="preserve">5., 13.</w:t>
      </w:r>
      <w:r w:rsidR="00000000" w:rsidRPr="00000000" w:rsidDel="00000000">
        <w:rPr>
          <w:vertAlign w:val="superscript"/>
          <w:rtl w:val="0"/>
        </w:rPr>
        <w:t xml:space="preserve">3 </w:t>
      </w:r>
      <w:r w:rsidR="00000000" w:rsidRPr="00000000" w:rsidDel="00000000">
        <w:rPr>
          <w:rtl w:val="0"/>
        </w:rPr>
        <w:t xml:space="preserve">7., 13.</w:t>
      </w:r>
      <w:r w:rsidR="00000000" w:rsidRPr="00000000" w:rsidDel="00000000">
        <w:rPr>
          <w:vertAlign w:val="superscript"/>
          <w:rtl w:val="0"/>
        </w:rPr>
        <w:t xml:space="preserve">3 </w:t>
      </w:r>
      <w:r w:rsidR="00000000" w:rsidRPr="00000000" w:rsidDel="00000000">
        <w:rPr>
          <w:rtl w:val="0"/>
        </w:rPr>
        <w:t xml:space="preserve">8., 13.</w:t>
      </w:r>
      <w:r w:rsidR="00000000" w:rsidRPr="00000000" w:rsidDel="00000000">
        <w:rPr>
          <w:vertAlign w:val="superscript"/>
          <w:rtl w:val="0"/>
        </w:rPr>
        <w:t xml:space="preserve">4 </w:t>
      </w:r>
      <w:r w:rsidR="00000000" w:rsidRPr="00000000" w:rsidDel="00000000">
        <w:rPr>
          <w:rtl w:val="0"/>
        </w:rPr>
        <w:t xml:space="preserve">7. un 13.</w:t>
      </w:r>
      <w:r w:rsidR="00000000" w:rsidRPr="00000000" w:rsidDel="00000000">
        <w:rPr>
          <w:vertAlign w:val="superscript"/>
          <w:rtl w:val="0"/>
        </w:rPr>
        <w:t xml:space="preserve">4 </w:t>
      </w:r>
      <w:r w:rsidR="00000000" w:rsidRPr="00000000" w:rsidDel="00000000">
        <w:rPr>
          <w:rtl w:val="0"/>
        </w:rPr>
        <w:t xml:space="preserve">8. apakšpunktā minētajai informācijai, kas ministrijā iesniegta, izmantojot informācijas sistēmu, ir publiska ticamība un nav nepieciešams elektroniskais paraksts;".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"17.7. pašvaldību, valsts un privātie sociālo pakalpojumu un sociālās palīdzības sniedzēji – šo noteikumu 11.</w:t>
      </w:r>
      <w:r w:rsidR="00000000" w:rsidRPr="00000000" w:rsidDel="00000000">
        <w:rPr>
          <w:vertAlign w:val="superscript"/>
          <w:rtl w:val="0"/>
        </w:rPr>
        <w:t xml:space="preserve">2</w:t>
      </w:r>
      <w:r w:rsidR="00000000" w:rsidRPr="00000000" w:rsidDel="00000000">
        <w:rPr>
          <w:rtl w:val="0"/>
        </w:rPr>
        <w:t xml:space="preserve">, 13.</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 13.</w:t>
      </w:r>
      <w:r w:rsidR="00000000" w:rsidRPr="00000000" w:rsidDel="00000000">
        <w:rPr>
          <w:vertAlign w:val="superscript"/>
          <w:rtl w:val="0"/>
        </w:rPr>
        <w:t xml:space="preserve">3</w:t>
      </w:r>
      <w:r w:rsidR="00000000" w:rsidRPr="00000000" w:rsidDel="00000000">
        <w:rPr>
          <w:rtl w:val="0"/>
        </w:rPr>
        <w:t xml:space="preserve">, 13.</w:t>
      </w:r>
      <w:r w:rsidR="00000000" w:rsidRPr="00000000" w:rsidDel="00000000">
        <w:rPr>
          <w:vertAlign w:val="superscript"/>
          <w:rtl w:val="0"/>
        </w:rPr>
        <w:t xml:space="preserve">7</w:t>
      </w:r>
      <w:r w:rsidR="00000000" w:rsidRPr="00000000" w:rsidDel="00000000">
        <w:rPr>
          <w:rtl w:val="0"/>
        </w:rPr>
        <w:t xml:space="preserve">, 13.</w:t>
      </w:r>
      <w:r w:rsidR="00000000" w:rsidRPr="00000000" w:rsidDel="00000000">
        <w:rPr>
          <w:vertAlign w:val="superscript"/>
          <w:rtl w:val="0"/>
        </w:rPr>
        <w:t xml:space="preserve">8</w:t>
      </w:r>
      <w:r w:rsidR="00000000" w:rsidRPr="00000000" w:rsidDel="00000000">
        <w:rPr>
          <w:rtl w:val="0"/>
        </w:rPr>
        <w:t xml:space="preserve"> un 15. 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17.21.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"17.21. Bērnu aizsardzības centrs – šo noteikumu 15.</w:t>
      </w:r>
      <w:r w:rsidR="00000000" w:rsidRPr="00000000" w:rsidDel="00000000">
        <w:rPr>
          <w:vertAlign w:val="superscript"/>
          <w:rtl w:val="0"/>
        </w:rPr>
        <w:t xml:space="preserve">2 </w:t>
      </w:r>
      <w:r w:rsidR="00000000" w:rsidRPr="00000000" w:rsidDel="00000000">
        <w:rPr>
          <w:rtl w:val="0"/>
        </w:rPr>
        <w:t xml:space="preserve">1. un 15.</w:t>
      </w:r>
      <w:r w:rsidR="00000000" w:rsidRPr="00000000" w:rsidDel="00000000">
        <w:rPr>
          <w:vertAlign w:val="superscript"/>
          <w:rtl w:val="0"/>
        </w:rPr>
        <w:t xml:space="preserve">2 </w:t>
      </w:r>
      <w:r w:rsidR="00000000" w:rsidRPr="00000000" w:rsidDel="00000000">
        <w:rPr>
          <w:rtl w:val="0"/>
        </w:rPr>
        <w:t xml:space="preserve">2.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Šo noteikumu 13.5 un 13.6 punktā minētās informācijas ievadīšanu informācijas sistēmā biedrība "Latvijas Neredzīgo biedrība" uzsāk ar 2024. gada 1. aprīli, biedrība "Latvijas Nedzirdīgo savienība"  – ar 2024. gada 1. novembri, valsts sabiedrība ar ierobežotu atbildību "Nacionālais rehabilitācijas centrs  "Vaivari""  – ar 2025. gada 1. aprīli. Līdz darbības uzsākšanai attiecīgos datus uzkrāj valsts sabiedrības ar ierobežotu atbildību "Nacionālais rehabilitācijas centrs  "Vaivari"", biedrības "Latvijas Nedzirdīgo savienība" un biedrības "Latvijas Neredzīgo biedrība" datubāzēs."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Šo noteikumu 13.</w:t>
      </w:r>
      <w:r w:rsidR="00000000" w:rsidRPr="00000000" w:rsidDel="00000000">
        <w:rPr>
          <w:vertAlign w:val="superscript"/>
          <w:rtl w:val="0"/>
        </w:rPr>
        <w:t xml:space="preserve">8</w:t>
      </w:r>
      <w:r w:rsidR="00000000" w:rsidRPr="00000000" w:rsidDel="00000000">
        <w:rPr>
          <w:rtl w:val="0"/>
        </w:rPr>
        <w:t xml:space="preserve">5. apakšpunktā minētās informācijas ievadi Valsts sociālās politikas monitoringa informācijas sistēmā pašvaldības sociālais dienests nodrošina pēc tam, kad ir uzsākta attiecīgās funkcionalitātes darbība.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24-TA-1026</w:t>
    </w:r>
    <w:r>
      <w:br/>
    </w:r>
    <w:r w:rsidR="00000000" w:rsidRPr="00000000" w:rsidDel="00000000">
      <w:rPr>
        <w:rtl w:val="0"/>
      </w:rPr>
      <w:t xml:space="preserve">Izdrukāts 29.07.2026. 23.35 - 1.0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24-TA-1026</w:t>
    </w:r>
    <w:r>
      <w:br/>
    </w:r>
    <w:r w:rsidR="00000000" w:rsidRPr="00000000" w:rsidDel="00000000">
      <w:rPr>
        <w:rtl w:val="0"/>
      </w:rPr>
      <w:t xml:space="preserve">Izdrukāts 29.07.2026. 23.35 - 1.0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noteikumu_(grozījumu)_projekts_24-TA-1026.docx</dc:title>
</cp:coreProperties>
</file>

<file path=docProps/custom.xml><?xml version="1.0" encoding="utf-8"?>
<Properties xmlns="http://schemas.openxmlformats.org/officeDocument/2006/custom-properties" xmlns:vt="http://schemas.openxmlformats.org/officeDocument/2006/docPropsVTypes"/>
</file>