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Komersanta atbilstības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30.05.2017. noteikumu Nr. 289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Energoietilpīgajiem komersantiem, kas darbojas apstrādes rūpniecībā, elektroenerģijas izmaksu īpatsvaru komersanta pievienotajā bruto vērtībā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247900" cy="361950"/>
                  <wp:effectExtent t="0" b="0" r="0" l="0"/>
                  <wp:docPr id="9" name="media/image9.PNG"/>
                  <a:graphic>
                    <a:graphicData uri="http://schemas.openxmlformats.org/drawingml/2006/picture">
                      <pic:pic>
                        <pic:nvPicPr>
                          <pic:cNvPr id="9" name="media/image9.PN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247900" cy="3619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el</w:t>
      </w:r>
      <w:r w:rsidR="00000000" w:rsidRPr="00000000" w:rsidDel="00000000">
        <w:rPr>
          <w:rtl w:val="0"/>
        </w:rPr>
        <w:t xml:space="preserve"> – komersanta elektroenerģijas izmaksas (EUR) attiecīgajos kalendāra gados;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BPV – komersanta pievienotā bruto vērtība, kas attiecīgajos kalendāra gados aprēķināta saskaņā ar šā pielikuma 2. punktu (EUR);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 – kalendāra gads, kurā komersants iesniedz iesniegumu.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Komersanta pievienoto bruto vērtību aprēķina attiecīgajā kalendāra gadā, izmantojot šādu formulu: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BPV = PVR – N</w:t>
      </w:r>
      <w:r w:rsidR="00000000" w:rsidRPr="00000000" w:rsidDel="00000000">
        <w:rPr>
          <w:vertAlign w:val="subscript"/>
          <w:rtl w:val="0"/>
        </w:rPr>
        <w:t xml:space="preserve">n</w:t>
      </w:r>
      <w:r w:rsidR="00000000" w:rsidRPr="00000000" w:rsidDel="00000000">
        <w:rPr>
          <w:rtl w:val="0"/>
        </w:rPr>
        <w:t xml:space="preserve"> + S,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PVR – pievienotā vērtība pēc ražošanas faktoru izmaksām (EUR);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</w:t>
      </w:r>
      <w:r w:rsidR="00000000" w:rsidRPr="00000000" w:rsidDel="00000000">
        <w:rPr>
          <w:vertAlign w:val="subscript"/>
          <w:rtl w:val="0"/>
        </w:rPr>
        <w:t xml:space="preserve">n</w:t>
      </w:r>
      <w:r w:rsidR="00000000" w:rsidRPr="00000000" w:rsidDel="00000000">
        <w:rPr>
          <w:rtl w:val="0"/>
        </w:rPr>
        <w:t xml:space="preserve"> – netiešie nodokļi (EUR);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 – jebkādas subsīdijas (EUR);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pievienoto vērtību pēc ražošanas faktoru izmaksām aprēķina, izmantojot vienu no šādām formulām: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2.1.1. PVR = A + KP + I</w:t>
      </w:r>
      <w:r w:rsidR="00000000" w:rsidRPr="00000000" w:rsidDel="00000000">
        <w:rPr>
          <w:vertAlign w:val="subscript"/>
          <w:rtl w:val="0"/>
        </w:rPr>
        <w:t xml:space="preserve">csd</w:t>
      </w:r>
      <w:r w:rsidR="00000000" w:rsidRPr="00000000" w:rsidDel="00000000">
        <w:rPr>
          <w:rtl w:val="0"/>
        </w:rPr>
        <w:t xml:space="preserve"> + KI – I</w:t>
      </w:r>
      <w:r w:rsidR="00000000" w:rsidRPr="00000000" w:rsidDel="00000000">
        <w:rPr>
          <w:vertAlign w:val="subscript"/>
          <w:rtl w:val="0"/>
        </w:rPr>
        <w:t xml:space="preserve">pp</w:t>
      </w:r>
      <w:r w:rsidR="00000000" w:rsidRPr="00000000" w:rsidDel="00000000">
        <w:rPr>
          <w:rtl w:val="0"/>
        </w:rPr>
        <w:t xml:space="preserve"> – N</w:t>
      </w:r>
      <w:r w:rsidR="00000000" w:rsidRPr="00000000" w:rsidDel="00000000">
        <w:rPr>
          <w:vertAlign w:val="subscript"/>
          <w:rtl w:val="0"/>
        </w:rPr>
        <w:t xml:space="preserve">c</w:t>
      </w:r>
      <w:r w:rsidR="00000000" w:rsidRPr="00000000" w:rsidDel="00000000">
        <w:rPr>
          <w:rtl w:val="0"/>
        </w:rPr>
        <w:t xml:space="preserve"> – N</w:t>
      </w:r>
      <w:r w:rsidR="00000000" w:rsidRPr="00000000" w:rsidDel="00000000">
        <w:rPr>
          <w:vertAlign w:val="subscript"/>
          <w:rtl w:val="0"/>
        </w:rPr>
        <w:t xml:space="preserve">r</w:t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apgrozījums (EUR);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KP – kapitalizētā produkcija (EUR);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csd</w:t>
      </w:r>
      <w:r w:rsidR="00000000" w:rsidRPr="00000000" w:rsidDel="00000000">
        <w:rPr>
          <w:rtl w:val="0"/>
        </w:rPr>
        <w:t xml:space="preserve"> – citi saimnieciskās darbības ienākumi (EUR);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KI – krājumu izmaiņas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(EUR);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pp</w:t>
      </w:r>
      <w:r w:rsidR="00000000" w:rsidRPr="00000000" w:rsidDel="00000000">
        <w:rPr>
          <w:rtl w:val="0"/>
        </w:rPr>
        <w:t xml:space="preserve"> – preču un pakalpojumu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iepirkumi (EUR);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</w:t>
      </w:r>
      <w:r w:rsidR="00000000" w:rsidRPr="00000000" w:rsidDel="00000000">
        <w:rPr>
          <w:vertAlign w:val="subscript"/>
          <w:rtl w:val="0"/>
        </w:rPr>
        <w:t xml:space="preserve">c</w:t>
      </w:r>
      <w:r w:rsidR="00000000" w:rsidRPr="00000000" w:rsidDel="00000000">
        <w:rPr>
          <w:rtl w:val="0"/>
        </w:rPr>
        <w:t xml:space="preserve"> – citi nodokļi par produktiem, kas saistīti ar apgrozījumu, bet nav atskaitāmi (EUR);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</w:t>
      </w:r>
      <w:r w:rsidR="00000000" w:rsidRPr="00000000" w:rsidDel="00000000">
        <w:rPr>
          <w:vertAlign w:val="subscript"/>
          <w:rtl w:val="0"/>
        </w:rPr>
        <w:t xml:space="preserve">r</w:t>
      </w:r>
      <w:r w:rsidR="00000000" w:rsidRPr="00000000" w:rsidDel="00000000">
        <w:rPr>
          <w:rtl w:val="0"/>
        </w:rPr>
        <w:t xml:space="preserve"> – ar ražošanu saistītās nodevas un nodokļi (EUR).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Ja krājumi samazinās – negatīvs lielums.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Preces un pakalpojumi neietver personāla izmaksas.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2.1.2. PVR = DR + PI,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DR – bruto darbības pārpalikums (EUR);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 – personāla izmaksas (EUR);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ieņēmumus un izdevumus, ko komersants grāmatvedībā klasificē kā finanšu ieņēmumus un izdevumus, pievienotajā vērtībā neieskaita;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komersanta pievienoto vērtību pēc ražošanas faktoru izmaksām aprēķina bruto līmenī.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Komersanta elektroenerģijas izmaksas aprēķina par attiecīgo kalendāra gadu, izmantojot šādu formulu: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el </w:t>
      </w:r>
      <w:r w:rsidR="00000000" w:rsidRPr="00000000" w:rsidDel="00000000">
        <w:rPr>
          <w:rtl w:val="0"/>
        </w:rPr>
        <w:t xml:space="preserve">= E</w:t>
      </w:r>
      <w:r w:rsidR="00000000" w:rsidRPr="00000000" w:rsidDel="00000000">
        <w:rPr>
          <w:vertAlign w:val="sub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× W</w:t>
      </w:r>
      <w:r w:rsidR="00000000" w:rsidRPr="00000000" w:rsidDel="00000000">
        <w:rPr>
          <w:vertAlign w:val="sub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+ E</w:t>
      </w:r>
      <w:r w:rsidR="00000000" w:rsidRPr="00000000" w:rsidDel="00000000">
        <w:rPr>
          <w:vertAlign w:val="subscript"/>
          <w:rtl w:val="0"/>
        </w:rPr>
        <w:t xml:space="preserve">2 </w:t>
      </w:r>
      <w:r w:rsidR="00000000" w:rsidRPr="00000000" w:rsidDel="00000000">
        <w:rPr>
          <w:rtl w:val="0"/>
        </w:rPr>
        <w:t xml:space="preserve"> × W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</w:t>
      </w:r>
      <w:r w:rsidR="00000000" w:rsidRPr="00000000" w:rsidDel="00000000">
        <w:rPr>
          <w:vertAlign w:val="sub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un E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– vidējā elektroenerģijas cena par iepriekšējā kalendāra gada pirmo un otro pusgadu (bez pievienotās vērtības nodokļa un citiem atmaksājamiem nodokļiem) rūpnieciskajiem patērētājiem atbilstošā patēriņa grupā (</w:t>
      </w:r>
      <w:r w:rsidR="00000000" w:rsidRPr="00000000" w:rsidDel="00000000">
        <w:rPr>
          <w:i w:val="1"/>
          <w:rtl w:val="0"/>
        </w:rPr>
        <w:t xml:space="preserve">Band-IC</w:t>
      </w:r>
      <w:r w:rsidR="00000000" w:rsidRPr="00000000" w:rsidDel="00000000">
        <w:rPr>
          <w:rtl w:val="0"/>
        </w:rPr>
        <w:t xml:space="preserve">: gada patēriņš no 500 līdz 2 000 MWh; </w:t>
      </w:r>
      <w:r w:rsidR="00000000" w:rsidRPr="00000000" w:rsidDel="00000000">
        <w:rPr>
          <w:i w:val="1"/>
          <w:rtl w:val="0"/>
        </w:rPr>
        <w:t xml:space="preserve">Band-ID</w:t>
      </w:r>
      <w:r w:rsidR="00000000" w:rsidRPr="00000000" w:rsidDel="00000000">
        <w:rPr>
          <w:rtl w:val="0"/>
        </w:rPr>
        <w:t xml:space="preserve">: gada patēriņš no 2 000 līdz 20 000 MWh; </w:t>
      </w:r>
      <w:r w:rsidR="00000000" w:rsidRPr="00000000" w:rsidDel="00000000">
        <w:rPr>
          <w:i w:val="1"/>
          <w:rtl w:val="0"/>
        </w:rPr>
        <w:t xml:space="preserve">Band-IE</w:t>
      </w:r>
      <w:r w:rsidR="00000000" w:rsidRPr="00000000" w:rsidDel="00000000">
        <w:rPr>
          <w:rtl w:val="0"/>
        </w:rPr>
        <w:t xml:space="preserve">: gada patēriņš no 20 000 līdz 70 000 MWh; </w:t>
      </w:r>
      <w:r w:rsidR="00000000" w:rsidRPr="00000000" w:rsidDel="00000000">
        <w:rPr>
          <w:i w:val="1"/>
          <w:rtl w:val="0"/>
        </w:rPr>
        <w:t xml:space="preserve">Band-IF</w:t>
      </w:r>
      <w:r w:rsidR="00000000" w:rsidRPr="00000000" w:rsidDel="00000000">
        <w:rPr>
          <w:rtl w:val="0"/>
        </w:rPr>
        <w:t xml:space="preserve">: gada patēriņš no 70 000 līdz 150 000 MWh), par kuru publicēti pēdējie Eiropas Savienības Statistikas biroja "Eurostat" dati;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W</w:t>
      </w:r>
      <w:r w:rsidR="00000000" w:rsidRPr="00000000" w:rsidDel="00000000">
        <w:rPr>
          <w:vertAlign w:val="sub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un W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– faktiskais elektroenerģijas patēriņš attiecīgā kalendāra gada pirmajā un otrajā pusgadā.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Ja komersants darbojas vairākās nozarēs, tad, vērtējot komersanta atbilstību kritērijiem, ņem vērā komersanta elektroenerģijas patēriņu tikai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pielikumā norādītajās nozarēs.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Ja komersants dibināts iepriekšējā gadā, aprēķinos izmanto datus par pirmo gadu, trešajā gadā – aritmētiski vidējos datus par pirmo un otro gadu. Sākot no ceturtā gada, izmanto aritmētiski vidējos datus par iepriekšējiem trijiem kalendāra gadiem.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21-TA-825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21-TA-825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noteikumu_konsolidētā_versija_p3_21-TA-825.docx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