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augustā (prot. Nr. 31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Vaļņu ielā 15, Daugavpilī,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ceturtās daļas 9. punktu un 5. panta pirmo un otro daļu atļaut valsts akciju sabiedrībai "Valsts nekustamie īpašumi" pārdot par brīvu cenu nekustamo īpašumu (nekustamā īpašuma kadastra Nr. 0500 011 0102) – zemes vienību (zemes vienības kadastra apzīmējums 0500 011 0102) 3,8843 ha platībā un divas būves (būvju kadastra apzīmējumi 0500 011 0102 005 un 0500 011 0103 001) – Vaļņu ielā 15, Daugavpilī, kas ierakstīts zemesgrāmatā uz valsts vārda Satiksmes ministrijas personā, ievērojot Publiskas personas mantas atsavināšanas likuma 37. pantu un 44.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valdītājam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25-TA-1458</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25-TA-1458</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rīkojuma_projekts_25-TA-1458.docx</dc:title>
</cp:coreProperties>
</file>

<file path=docProps/custom.xml><?xml version="1.0" encoding="utf-8"?>
<Properties xmlns="http://schemas.openxmlformats.org/officeDocument/2006/custom-properties" xmlns:vt="http://schemas.openxmlformats.org/officeDocument/2006/docPropsVTypes"/>
</file>