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aprīlī (prot. Nr. 18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otrās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otro kārtu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atlasi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plānotais atbalsta veids ir grants (dotācija).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Pasākuma mērķis un plānotie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ir visi Latvijas iedzīvotāji, veselības aprūpes pakalpojumu sniedzēji, Veselības ministrijas padotības iestādes un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mērķa iznākuma rādītājs ir noslēgto līgumu īpatsvars par ieguldījumiem veselības aprūpes infrastruktūras objektos, nodrošinot, ka līdz 2029. gada 31. decembrim noslēgti līgumi par projektu īstenošanu 100 procentu apmērā no specifiskā atbalsta mērķim pieejamā kopējā attiecināmā finansējuma, tai skaitā nodrošinot, ka līdz 2024. gada 31. decembrim pasākuma ietvaros noslēgti līgumi par projektu īstenošanu vismaz par 1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Pasākums veicina 4.1.1.1. pasākuma "Ārstniecības iestāžu infrastruktūras attīstība" kopējā iznākuma rādītāja "jaunu vai modernizētu veselības aprūpes iestāžu kapacitāte" sasniegšanu visu kārtu ietvaros, nodrošinot, ka līdz 2029. gada 31. decembrim izveidotās vai uzlabotās veselības aprūpes iestādes vismaz vienu reizi gada laikā apmeklēs 3 687 497 iedzīvotāji, tai skaitā pasākuma ietvaros – 1 081 157 personas gadā.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rezultāta rādītājs ir personu skaits gadā, kuras izmanto jaunas vai modernizētas veselības aprūpes iestādes pakalpojumus, nodrošinot, ka līdz 2029. gada 31. decembrim 982 870 personas gadā izmanto jaunas vai modernizētas veselības aprūpes iestādes pakalpojumus.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plānotais un pieejamais kopējais finansējums ir 15 089 807 </w:t>
      </w:r>
      <w:r w:rsidR="00000000" w:rsidRPr="00000000" w:rsidDel="00000000">
        <w:rPr>
          <w:i w:val="1"/>
          <w:rtl w:val="0"/>
        </w:rPr>
        <w:t xml:space="preserve">euro</w:t>
      </w:r>
      <w:r w:rsidR="00000000" w:rsidRPr="00000000" w:rsidDel="00000000">
        <w:rPr>
          <w:rtl w:val="0"/>
        </w:rPr>
        <w:t xml:space="preserve">, tai skaitā Eiropas Reģionālās attīstības fonda finansējums – 12 826 335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 2 263 472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attiecināmais Eiropas Reģionālās attīstības fonda finansējums nepārsniedz 85 procentus, bet nacionālais līdzfinansējums, kas iekļauj valsts budžeta un privāto līdzfinansējumu, nav mazāks par 15 procentiem no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 pasākumam pieejamā kopējā finansējuma. Attiecināmais nacionālais privātais līdzfinansējums katram projektam tiek noteikts saskaņā ar šo noteikumu  </w:t>
      </w:r>
      <w:r w:rsidR="00000000" w:rsidRPr="00000000" w:rsidDel="00000000">
        <w:rPr>
          <w:rtl w:val="0"/>
        </w:rPr>
        <w:t xml:space="preserve">39.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finansējuma saņēmējiem komercdarbības atbalstu piešķir atbilstoši šīs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atbilstoši normatīvajiem aktiem par veselības aprūpes organizēšanu un samaksu ir noslēdzis ar Nacionālo veselības dienestu (turpmāk – pilnvarojuma uzlicējs) deleģēšanas līgumu par vispārējas tautsaimnieciskas nozīmes pakalpojuma (turpmāk – sabiedriskie pakalpojumi)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sniedzējam piešķirto ekskluzīvo vai īpašo tiesību būtību, ja tas sniedz pakalpojumu ar vispārēju tautsaimniecisku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14.6. </w:t>
      </w:r>
      <w:r w:rsidR="00000000" w:rsidRPr="00000000" w:rsidDel="00000000">
        <w:rPr>
          <w:rtl w:val="0"/>
        </w:rPr>
        <w:t xml:space="preserve">apakšpunktā</w:t>
      </w:r>
      <w:r w:rsidR="00000000" w:rsidRPr="00000000" w:rsidDel="00000000">
        <w:rPr>
          <w:rtl w:val="0"/>
        </w:rPr>
        <w:t xml:space="preserve">  minētos deleģēšanas līgumā paredzētos atlīdzības (kompensācijas) maksājumus, kā arī novērsīs un atgūs deleģēšanas līgumā paredzēto atlīdzības (kompensācijas) maksājumu pārmaksu regulāri, bet ne retāk kā reizi trijos gados un pilnvarojuma akta darbības perioda beigās.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sadarbības iestādei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komercdarbības atbalstu drīkst kumulēt ar citu komercdarbības atbalstu, ko piešķir par pakalpojuma ar vispārēju tautsaimniecisku nozīmi sniegšanu, citas atbalsta programmas vai individuālā atbalsta projekta ietvaros,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komercdarbības atbalsta piešķiršanas dienu ir uzskatāma diena, kad sadarbības iestāde ir sniegusi lēmumu par projekta apstiprināšanu vai atzinumu par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nevar pretendēt uz atbalsta saņemšanu, ja tas atbilst grūtībās nonākuša komersanta statusam saskaņā ar Komisijas 2014. gada 17. jūnija Regulas Nr. 651/2014, ar ko noteiktas atbalsta kategorijas atzīst par saderīgām ar iekšējo tirgu, piemērojot Līguma 107. un 108. pantu, 2. panta 18.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projektam pievieno apliecinājumu, ka attiecībā uz to nepastāv Maksātnespējas likumā noteiktie ierobežojumi tiesiskās aizsardzības procesa lietas ierosināšanai un pasludināšanai un finansējuma saņēmējam nav ierosināta maksātnespējas procesa lieta.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ārstniecības iestāde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sadarbības iestādē, izmantojot Kohēzijas politikas fondu vadības informācijas sistēmu, tai skaitā paraksta interešu konflikta neesības apliecinājumu, ievērojot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kura projekta kopējās izmaksas, ieskaitot pievienotās vērtības nodokli, pārsniedz 1 000 000 </w:t>
      </w:r>
      <w:r w:rsidR="00000000" w:rsidRPr="00000000" w:rsidDel="00000000">
        <w:rPr>
          <w:i w:val="1"/>
          <w:rtl w:val="0"/>
        </w:rPr>
        <w:t xml:space="preserve">euro</w:t>
      </w:r>
      <w:r w:rsidR="00000000" w:rsidRPr="00000000" w:rsidDel="00000000">
        <w:rPr>
          <w:rtl w:val="0"/>
        </w:rPr>
        <w:t xml:space="preserve">, atbilstoši sadarbības iestādes izstrādātajiem metodiskajiem norādījumiem veic izmaksu un ieguvumu analīzi un pievieno to projekta iesniegumam. Veicot izmaksu un ieguvumu analīzi, projekta iesniedzējs nodrošina, ka aprēķinātā projekta ekonomiskā ienesīguma norma ir lielāka par sociālo diskonta likmi un projekta ekonomiskā neto pašreizējā vērtība ir lielāka par nulli.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iesnieguma vērtēšanas komisijā sadarbības iestāde iekļauj pārstāvi no Veselības ministrijas kā nozares pārstāvi, kā arī pārstāvi no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Sadarbības iestāde pasākuma projektu iesniegumu atlases ietvaros organizē ierobežotu projektu iesniegumu atlasi, uzaicinot tajā piedalīties šo noteikumu </w:t>
      </w:r>
      <w:r w:rsidR="00000000" w:rsidRPr="00000000" w:rsidDel="00000000">
        <w:rPr>
          <w:rtl w:val="0"/>
        </w:rPr>
        <w:t xml:space="preserve">pielikumā</w:t>
      </w:r>
      <w:r w:rsidR="00000000" w:rsidRPr="00000000" w:rsidDel="00000000">
        <w:rPr>
          <w:rtl w:val="0"/>
        </w:rPr>
        <w:t xml:space="preserve">  minētos projektu iesniedzējus.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nodrošina, ka atbalsts tiek ieguldīts infrastruktūras attīstībā, kurā tiek nodrošināti šādi valsts apmaksāti veselības aprūpes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sadaļā "III līmeņa ārstniecības iestādes" minētajām ārstniecības iestādēm atbalsts infrastruktūras attīstībai tiek sniegts: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tai skaitā rehabilitācijas, pakalpojumu nodrošināšanai;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uzņemšanas nodaļu sniegto veselības aprūpes pakalpojumu nodrošināšanai;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tai skaitā rehabilitācijas, pakalpojumu nodrošināšanai, izņemot atbalstu traumatoloģijas, grūtniecības un dzemdību aprūpes profilos;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sadaļās "I līmeņa ārstniecības iestādes", "II līmeņa ārstniecības iestādes" un "Specializētās ārstniecības iestādes" minētajām ārstniecības iestādēm atbalsts infrastruktūras attīstībai tiek sniegts: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tai skaitā rehabilitācijas, pakalpojumu nodrošināšanai;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uzņemšanas nodaļu sniegto veselības aprūpes pakalpojumu nodrošināšanai;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tai skaitā rehabilitācijas, pakalpojumu nodrošināšanai tikai terapijas, aprūpes un hronisko pacientu aprūpes profilos;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sadaļā "Pārējās slimnīcas" minētajām ārstniecības iestādēm atbalsts infrastruktūras attīstībai tiek sniegts tikai sekundārās ambulatorās veselības aprūpes, tai skaitā rehabilitācijas, pakalpojumu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minētās atbalstāmās darbības ietvaros ir attiecināmas finansējuma saņēmēja projekta vadības un īstenošanas personāla izmaksas, kas radušās uz darba līguma vai uzņēmuma līguma pamata, tai skaitā normatīvajos aktos nodarbinātības jomā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apmērs nepārsniedz ierobežojumu, ko aprēķina ar minimālo izmaksu bāzi 34 422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bet neieskaitot tiešās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 </w:t>
      </w:r>
      <w:r w:rsidR="00000000" w:rsidRPr="00000000" w:rsidDel="00000000">
        <w:rPr>
          <w:rtl w:val="0"/>
        </w:rPr>
        <w:t xml:space="preserve">apakšpunktā</w:t>
      </w:r>
      <w:r w:rsidR="00000000" w:rsidRPr="00000000" w:rsidDel="00000000">
        <w:rPr>
          <w:rtl w:val="0"/>
        </w:rPr>
        <w:t xml:space="preserve"> minētās atbalstāmās darbības ietvaros ir attiecināmas šādas ar būvniecību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izmaksas, funkcionālā plānojuma un tehniskās specifikācijas izstrādes izmaksas, būvprojekta minimālā sastāvā un būvprojekta izstrādes izmaksas, projekta ekspertīžu izmaksas, autoruzraudzības un būvuzraudzības izmaksas, vides un informācijas piekļūstamības ekspertu konsultāciju un būvniecības jomu regulējošos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demontāžas izmaksas un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minētās izmaksas nepārsniedz 10 procentus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27.3. </w:t>
      </w:r>
      <w:r w:rsidR="00000000" w:rsidRPr="00000000" w:rsidDel="00000000">
        <w:rPr>
          <w:rtl w:val="0"/>
        </w:rPr>
        <w:t xml:space="preserve">apakšpunktā</w:t>
      </w:r>
      <w:r w:rsidR="00000000" w:rsidRPr="00000000" w:rsidDel="00000000">
        <w:rPr>
          <w:rtl w:val="0"/>
        </w:rPr>
        <w:t xml:space="preserve">  minētās atbalstāmās darbības ietvaros ir attiecināmas šādas ārstniecības procesam tieši nepieciešamo tehnoloģiju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27.4. </w:t>
      </w:r>
      <w:r w:rsidR="00000000" w:rsidRPr="00000000" w:rsidDel="00000000">
        <w:rPr>
          <w:rtl w:val="0"/>
        </w:rPr>
        <w:t xml:space="preserve">apakšpunktā</w:t>
      </w:r>
      <w:r w:rsidR="00000000" w:rsidRPr="00000000" w:rsidDel="00000000">
        <w:rPr>
          <w:rtl w:val="0"/>
        </w:rPr>
        <w:t xml:space="preserve"> minētā atbalstāmā darbība ietver komunikācijas un vizuālās identitātes prasību nodrošināšanas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atbalstāmo darbību īstenošanai ir attiecināmas neparedzētās izmaksas līdz diviem procentiem no projekta kopējām tiešajām attiecināmajām izmaksām, ko projekta iesniegumā plāno kā vienu izmaksu pozīciju un izmanto papildu īstenošanas izmaksu segšanai, kas neparedzamu apstākļu dēļ ir kļuvušas nepieciešamas projekta īstenošanai. Neparedzēto izdevumu izlietošanu pirms izdevumu veikšanas finansējuma saņēmējs saskaņo ar sadarbības iestādi, kā to nosaka līgums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 </w:t>
      </w:r>
      <w:r w:rsidR="00000000" w:rsidRPr="00000000" w:rsidDel="00000000">
        <w:rPr>
          <w:rtl w:val="0"/>
        </w:rPr>
        <w:t xml:space="preserve">30.</w:t>
      </w:r>
      <w:r w:rsidR="00000000" w:rsidRPr="00000000" w:rsidDel="00000000">
        <w:rPr>
          <w:rtl w:val="0"/>
        </w:rPr>
        <w:t xml:space="preserve"> ,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izmaksas veido projekta tiešās attiecināmās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30.</w:t>
      </w:r>
      <w:r w:rsidR="00000000" w:rsidRPr="00000000" w:rsidDel="00000000">
        <w:rPr>
          <w:rtl w:val="0"/>
        </w:rPr>
        <w:t xml:space="preserve"> ,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minētās izmaksas veido projekta pārējās tiešās attiecināmās izmaksas. Šīs piegāžu un pakalpojumu izmaksas ir attiecināmas, ja tās radušās, ievērojot publisko iepirkumu jomu regulējošos normatīvos aktus.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Pievienotās vērtības nodoklis, kas tiešā veidā saistīts ar projektu, uzskatāms par attiecināmām izmaksām saskaņā ar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"c" apakšpunktā ietvertajiem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ne agrāk par 2021. gada 1. janvāri. Projekta iesniegumā neiekļauj un finansējumu nepiešķir darbībām, kas pabeigtas pirms projekta iesnieguma iesniegšanas sadarbības iestādē.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Pasākuma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666875" cy="6286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666875" cy="628650"/>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x </w:t>
      </w:r>
      <w:r w:rsidR="00000000" w:rsidRPr="00000000" w:rsidDel="00000000">
        <w:rPr>
          <w:rtl w:val="0"/>
        </w:rPr>
        <w:t xml:space="preserve">–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 </w:t>
      </w:r>
      <w:r w:rsidR="00000000" w:rsidRPr="00000000" w:rsidDel="00000000">
        <w:rPr>
          <w:sz w:val="20"/>
          <w:b w:val="1"/>
          <w:i w:val="1"/>
          <w:vertAlign w:val="subscript"/>
          <w:rtl w:val="0"/>
        </w:rPr>
        <w:t xml:space="preserve">publ  </w:t>
      </w:r>
      <w:r w:rsidR="00000000" w:rsidRPr="00000000" w:rsidDel="00000000">
        <w:rPr>
          <w:rtl w:val="0"/>
        </w:rPr>
        <w:t xml:space="preserve">–  attiecīgā gada publisko izmaksu maksimālais apmērs </w:t>
      </w:r>
      <w:r w:rsidR="00000000" w:rsidRPr="00000000" w:rsidDel="00000000">
        <w:rPr>
          <w:i w:val="1"/>
          <w:rtl w:val="0"/>
        </w:rPr>
        <w:t xml:space="preserve">(euro);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600200" cy="5810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600200" cy="58102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y</w:t>
      </w:r>
      <w:r w:rsidR="00000000" w:rsidRPr="00000000" w:rsidDel="00000000">
        <w:rPr>
          <w:rtl w:val="0"/>
        </w:rPr>
        <w:t xml:space="preserve"> –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b w:val="1"/>
          <w:i w:val="1"/>
          <w:rtl w:val="0"/>
        </w:rPr>
        <w:t xml:space="preserve"> </w:t>
      </w:r>
      <w:r w:rsidR="00000000" w:rsidRPr="00000000" w:rsidDel="00000000">
        <w:rPr>
          <w:rtl w:val="0"/>
        </w:rPr>
        <w:t xml:space="preserve">–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infrastruktūras izmantošanas proporcijas aprēķinu iesniedz sadarbības iestādei: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39.1. </w:t>
      </w:r>
      <w:r w:rsidR="00000000" w:rsidRPr="00000000" w:rsidDel="00000000">
        <w:rPr>
          <w:rtl w:val="0"/>
        </w:rPr>
        <w:t xml:space="preserve">apakšpunktu</w:t>
      </w:r>
      <w:r w:rsidR="00000000" w:rsidRPr="00000000" w:rsidDel="00000000">
        <w:rPr>
          <w:rtl w:val="0"/>
        </w:rPr>
        <w:t xml:space="preserve">,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iesniedzot noslēguma maksājuma pieprasījumu, nodrošina, ka saskaņā ar šo noteikumu </w:t>
      </w:r>
      <w:r w:rsidR="00000000" w:rsidRPr="00000000" w:rsidDel="00000000">
        <w:rPr>
          <w:rtl w:val="0"/>
        </w:rPr>
        <w:t xml:space="preserve">39.1. </w:t>
      </w:r>
      <w:r w:rsidR="00000000" w:rsidRPr="00000000" w:rsidDel="00000000">
        <w:rPr>
          <w:rtl w:val="0"/>
        </w:rPr>
        <w:t xml:space="preserve">apakšpunktu</w:t>
      </w:r>
      <w:r w:rsidR="00000000" w:rsidRPr="00000000" w:rsidDel="00000000">
        <w:rPr>
          <w:rtl w:val="0"/>
        </w:rPr>
        <w:t xml:space="preserve">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nacionālo privāto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27.4. </w:t>
      </w:r>
      <w:r w:rsidR="00000000" w:rsidRPr="00000000" w:rsidDel="00000000">
        <w:rPr>
          <w:rtl w:val="0"/>
        </w:rPr>
        <w:t xml:space="preserve">apakšpunktā</w:t>
      </w:r>
      <w:r w:rsidR="00000000" w:rsidRPr="00000000" w:rsidDel="00000000">
        <w:rPr>
          <w:rtl w:val="0"/>
        </w:rPr>
        <w:t xml:space="preserve"> minētos komunikācijas un vizuālās identitātes prasību nodrošināšanas pasākumus saskaņā ar regulas Nr. 2021/1060 47. un 50. pantu un normatīvajiem aktiem par kārtību, kādā Eiropas Savienības struktūrfondu un Kohēzijas fonda ieviešanā 2021.–2027. gada plānošanas periodā nodrošināma komunikācijas un vizuālās identitātes prasību ievērošana, kā arī ievēro Eiropas Savienības fondu 2021.–2027. gada plānošanas perioda un Atveseļošanas fonda komunikācijas un dizaina vadlīnijas;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horizontālā principa "Vienlīdzība, iekļaušana, nediskriminācija un pamattiesību ievērošana" īstenošanu un uzkrāj datus par šādiem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skaits, kuros Eiropas Reģionālās attīstības fonda ieguldījumu rezultātā ir nodrošināta vides un informācijas pieejamība. Finansējuma saņēmējam, iesniedzot noslēguma maksājuma pieprasījumu, ir pienākums sniegt minēto informāciju par visu projekta periodu;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 vides un informācijas piekļūstamības pašnovērtējumu skaits atbilstoši Labklājības ministrijas izstrādātajai metodikai. Finansējuma saņēmējam, iesniedzot noslēguma maksājuma pieprasījumu, ir pienākums sniegt minēto informāciju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projekta sadārdzinājumu sedz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dubultā finansējuma neiestāšanos, kā arī to, ka projektā plānotie darbi netiek finansēti vai līdzfinansēti un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faktiski sasniegto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rādītāju;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noslēguma maksājuma veikšanas;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regulas Nr. 2021/1060 9. panta 4. punktam un Eiropas Parlamenta un Padomes 2020. gada 18. jūnija Regulas (ES) 2020/852 par regulējuma izveidi ilgtspējīgu ieguldījumu veicināšanai un ar kuru groza Regulu (ES) 2019/2088, 17. pantam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atklātā, pārredzamā, nediskriminējošā un konkurenci nodrošinošā, sociāli atbildīgā veidā, kā arī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nosacījumus, kā tas pārliecinās par interešu konflikta, krāpšanas un korupcijas risku neesību, tostarp identificē apstākļus, kuri izraisa vai var izraisīt interešu konfliktu un krāpšanas un korupcijas riskus, kas rada apdraudējumu vai kaitējumu projekta īstenošanai, nosaka veicamos pasākumus un izstrādā darbības plānu interešu konflikta un krāpšanas un korupcijas risku preventīvai novēršanai un gadījumiem, kad interešu konflikts, krāpšana vai korupcija ir atklāta;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ka atbalsts ne mazāk kā 30 procentu apmērā tiek ieguldīts infrastruktūras attīstībai, kurā tiek nodrošināti sekundārie ambulatorie veselības aprūpes pakalpojumi, kā arī attiecīgi nodrošina uzskaiti.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ja tai ir pieejami valsts budžeta līdzekļi, pamatojoties uz finansējuma saņēmēja rakstisku avansa pieprasījumu, pēc plānotā avansa apmēra un tā pamatojuma izvērtēšanas var piešķirt finansējuma saņēmējam avansu pēc tam, kad ir noslēgts līgums par projekta īstenošanu. Finansējuma saņēmējs avansa pieprasījumu sagatavo un sadarbības iestāde to apstiprina, ņemot vērā nosacījumu, ka plānotā avansa apmērs atbilst spējai to izlietot sešu mēnešu laikā saimnieciskā gada ietvaros. Finansējuma saņēmējam avansu var piešķirt līdz 30 procentiem no projektam piešķirtā Eiropas Reģionālās attīstības fonda finansējuma, ievērojot, ka avansu var izmaksāt vairākos maksājumos un avansa un starpposma maksājumu kopsumma nepārsniedz 90 procentus no projektam piešķirtā Eiropas Reģionālās attīstības fonda finansējuma apmēra.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projektu īsteno saskaņā ar līgumu par projekta īstenošanu, kas noslēgts starp finansējuma saņēmēju un sadarbības iestādi, bet ne ilgāk kā līdz 2029.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23-TA-2551</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23-TA-2551</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noteikumu_projekts_23-TA-2551.docx</dc:title>
</cp:coreProperties>
</file>

<file path=docProps/custom.xml><?xml version="1.0" encoding="utf-8"?>
<Properties xmlns="http://schemas.openxmlformats.org/officeDocument/2006/custom-properties" xmlns:vt="http://schemas.openxmlformats.org/officeDocument/2006/docPropsVTypes"/>
</file>