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30.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otrās kārtas finansējuma saņēmēji (I–III līmeņa un pārējās slimnīcas) un finansējuma sadalījums</w:t>
      </w:r>
    </w:p>
    <w:tbl>
      <w:tblPr>
        <w:tblStyle w:val="DefaultTable"/>
        <w:bidiVisual w:val="0"/>
        <w:tblW w:w="90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64"/>
        <w:gridCol w:w="3520"/>
        <w:gridCol w:w="4536"/>
        <w:gridCol w:w="4536"/>
        <w:gridCol w:w="4536"/>
        <w:tblGridChange w:id="0">
          <w:tblGrid>
            <w:gridCol w:w="564"/>
            <w:gridCol w:w="3520"/>
            <w:gridCol w:w="4536"/>
            <w:gridCol w:w="4536"/>
            <w:gridCol w:w="4536"/>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Finansējuma saņēmējs</w:t>
            </w:r>
            <w:r w:rsidR="00000000" w:rsidRPr="00000000" w:rsidDel="00000000">
              <w:rPr>
                <w:b w:val="1"/>
                <w:vertAlign w:val="superscript"/>
                <w:rtl w:val="0"/>
              </w:rPr>
              <w:t xml:space="preserve">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Pasākumam plānotais un pieejamais attiecināmais finansējums pa finansējuma avotiem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Eiropas Reģionālās attīstības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nacionālais finansējums</w:t>
            </w:r>
            <w:r>
              <w:tab/>
            </w:r>
            <w:r>
              <w:br/>
            </w:r>
            <w:r w:rsidR="00000000" w:rsidRPr="00000000" w:rsidDel="00000000">
              <w:rPr>
                <w:b w:val="1"/>
                <w:rtl w:val="0"/>
              </w:rPr>
              <w:t xml:space="preserve">(valsts budžeta un privātais 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 4 + 5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otrās kārtas finansējuma saņēmēji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15 089 807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12 826 335,00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2 263 472,00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III līmeņa ārstniecības iestādes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1 467 008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1 246 956,80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220 051,20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klīnika,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1 431 728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1 216 968,80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214 759,20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un apkārtnes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1 080 038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918 032,30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162 005,70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1 196 771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1 017 255,30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179 515,70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rajona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1 703 140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1 447 669,00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255 471,00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un Gulbenes slimnīcu apvienība,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1 134 588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964 399,80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170 188,20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1 211 761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1 029 996,80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181 764,20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līmeņa ārstniecības iestādes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569 112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483 745,20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85 366,80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511 074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434 412,90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76 661,10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846 850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719 822,00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127 028,00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514 419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437 256,10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77 162,90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līmeņa ārstniecības iestādes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slimnīca, PSIA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204 522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173 843,70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30 678,30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480 317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408 269,40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72 047,60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431 233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366 548,00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64 685,00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502 845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427 418,20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75 426,80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medicīnas centrs,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500 704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425 598,40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75 105,60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Specializētās ārstniecības iestādes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2.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781 307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664 110,90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117 196,10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316 476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269 004,60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47 471,40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Pārējās slimnīcas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medicīnas centrs,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150 619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128 026,10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22 592,90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Priekules slimnīca, SIA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55 295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47 000,70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8 294,30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Finansējuma saņēmēji ir stacionāro veselības aprūpes pakalpojumu sniedzēji  saskaņā ar </w:t>
      </w:r>
      <w:r w:rsidR="00000000" w:rsidRPr="00000000" w:rsidDel="00000000">
        <w:rPr>
          <w:rtl w:val="0"/>
        </w:rPr>
        <w:t xml:space="preserve">Ministru kabineta 2018. gada 28. augusta noteikumu Nr. 555 "Veselības aprūpes pakalpojumu organizēšanas un samaksas kārtība"</w:t>
      </w:r>
      <w:r w:rsidR="00000000" w:rsidRPr="00000000" w:rsidDel="00000000">
        <w:rPr>
          <w:rtl w:val="0"/>
        </w:rPr>
        <w:t xml:space="preserve"> 6. pielikumā noteiktajām I–III līmeņa ārstniecības iestādēm,  pārējām slimnīcām un specializētajām ārstniecības iestādēm.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23-TA-2551</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23-TA-2551</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noteikumu_projekts_p_23-TA-2551.docx</dc:title>
</cp:coreProperties>
</file>

<file path=docProps/custom.xml><?xml version="1.0" encoding="utf-8"?>
<Properties xmlns="http://schemas.openxmlformats.org/officeDocument/2006/custom-properties" xmlns:vt="http://schemas.openxmlformats.org/officeDocument/2006/docPropsVTypes"/>
</file>