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aprīlī (prot. Nr. 22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3. februāra noteikumos Nr. 108 "Normatīvo aktu projektu sagatavošanas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95.pantu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3. februāra noteikumos Nr. 108 "Normatīvo aktu projektu sagatavošanas noteikumi" (Latvijas Vēstnesis, 2009, 26. nr.; 2010, 37. nr.; 2021, 173A.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Sagatavojot normatīvā akta projektu, atvasināta publiska persona (izņemot pašvaldību) ievēro šo noteikumu 3., 4., 5. un 7. nodaļā minētās prasības, izņemot šo noteikumu 3.5. un 3.6. apakšnodaļā minētās prasības. Vārdus "Ministru kabinets" attiecīgā locījumā aizstāj ar atvasinātas publiskas personas nosaukumu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Sagatavojot normatīvā akta projektu, pašvaldība ievēro šo noteikumu 3., 4., 5. un 6. nodaļā minētās prasības, izņemot šo noteikumu 3.5. un 3.6. apakšnodaļā minētās prasības. Vārdus "Ministru kabinets" attiecīgā locījumā aizstāj ar pašvaldību domes nosaukumu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Pārejas noteikumus raksta likumprojekta beigās atsevišķā nenumurētā vienībā ar nosaukumu "Pārejas noteikumi" ("Pārejas noteikums"). Ja likumprojekts satur informatīvu atsauci uz Eiropas Savienības direktīvām un regulām, ar ko groza direktīvas, pārejas noteikumu vienību raksta pirms minētās atsauces."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Ja nepieciešams, likumprojekta beigās aiz pārejas noteikumiem, bet, ja likumprojekts satur informatīvu atsauci uz Eiropas Savienības direktīvām un regulām, ar ko groza direktīvas, aiz minētās atsauces raksta noteikumus par likuma spēkā stāšanās laiku. Noteikumos par likuma spēkā stāšanās laiku secīgi raksta: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vārdus "likums stājas spēkā";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likuma spēkā stāšanās datumu attiecīgā locījumā vai citu spēkā stāšanās nosacījumu."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Saīsinājumā pieļaujams izmantot vispārzināmas abreviatūras, ja tas uzlabo likumprojekta uztveramību."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2.5.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"2.5. Pilnvarojums atvasinātai publiskai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(izņemot pilnvarojumu pašvaldības domei) likumprojekta izpildes nodrošināšanai izdot ārēju normatīvo aktu – noteikumus. Pilnvarojumā detalizēti nosaka atvasinātas publiskas personas noteikumu satura galvenos virzienus."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Atvasinātas publiskas personas noteikumi detalizē likumā ietverto regulējumu. Likumprojektā neietver pilnvarojumu atvasinātai publiskai personai izdot noteikumus par jautājumiem, kas nav ietverti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Pilnvarojumu izdot ārēju normatīvo aktu veido, izmantojot vienu no šādiem paņēmieniem: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atvasinātas publiskas personas nosaukums attiecīgā locījumā, vārds "nosaka" un normatīvā akta satura galveno virzienu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normatīvā akta satura galveno virzienu apraksts, vārds "nosaka" un atvasinātas publiskas personas nosaukums attiecīgā locījumā;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frāze, kas ietver atvasinātas publiskas personas nosaukumu attiecīgā locījumā un vārdus "izdod noteikumus, kuros", un normatīvā akta satura galveno virzienu apraksts."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68.3.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"68.3. 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Grozījumu likumprojektā, kuru sagatavo, lai izdarītu grozījumus Latvijas Republikas Satversmē, Civillikumā un Latvijas Sodu izpildes kodeksā, šo noteikumu 68.3. apakšpunktā minēto norādi neraksta."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"86.3. 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"87.3. norādi iekavās uz likuma un tā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Noslēguma jautājumus raksta kā atsevišķus noteikumu projekta punktus. Noslēguma jautājumus, turpinot noteikumu projekta numerāciju, raksta noteikumu projekta pēdējos punktos. Ja noteikumu projekts iedalīts nodaļās, noslēguma jautājumus ietver atsevišķā nodaļā ar nosaukumu "Noslēguma jautājumi" ("Noslēguma jautājums"). Ja noteikumu projekts satur informatīvu atsauci uz Eiropas Savienības direktīvām un regulām, ar ko groza direktīvas, noslēguma jautājumu vienību raksta pirms minētās atsauces."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jautājumos secīgi raksta: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uz iestādi (institūciju), kas nodrošinās noteikumos noteikto funkciju izpildi līdz to nodošanai citai iestādei (institūcijai) vai līdz noteikumu izpildei paredzētās jaunās iestādes (institūcijas) izveidošanai;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2. nosacījumus, kas nepieciešami tiesiskā regulējuma nepā</w:t>
      </w:r>
      <w:r w:rsidR="00000000" w:rsidRPr="00000000" w:rsidDel="00000000">
        <w:rPr>
          <w:rtl w:val="0"/>
        </w:rPr>
        <w:t xml:space="preserve">rtrauktības </w:t>
      </w:r>
      <w:r w:rsidR="00000000" w:rsidRPr="00000000" w:rsidDel="00000000">
        <w:rPr>
          <w:rtl w:val="0"/>
        </w:rPr>
        <w:t xml:space="preserve">nodrošināšanai</w:t>
      </w:r>
      <w:r w:rsidR="00000000" w:rsidRPr="00000000" w:rsidDel="00000000">
        <w:rPr>
          <w:rtl w:val="0"/>
        </w:rPr>
        <w:t xml:space="preserve"> un jaunā regulējuma ieviešanai;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3. noteikumu vai to atsevišķu punktu piemērošanas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atsevišķu punktu spēkā stāšanās laiku, ja tas atšķiras no visu noteikumu spēkā stāšanās laika, ievērojot šo noteikumu 157.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spēkā stāšanās laiku, ja tas atšķiras no vispārējās kārtības, ievērojot šo noteikumu 156.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6. laiku, līdz kuram noteikumi vai atsevišķas tā normas ir spēkā, ja noteikumi vai atsevišķas normas ir pieņemtas uz noteiktu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norādi, kuri Ministru kabineta noteikumi tiek atzīti par spēku zaudējušiem, ievērojot šo noteikumu 159.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"141.8. norādi iekavās uz noteikumu un to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3.9.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"3.9. Normas par noteikumu spēkā 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ievērojot šo noteikumu 116.</w:t>
      </w:r>
      <w:r w:rsidR="00000000" w:rsidRPr="00000000" w:rsidDel="00000000">
        <w:rPr>
          <w:vertAlign w:val="superscript"/>
          <w:rtl w:val="0"/>
        </w:rPr>
        <w:t xml:space="preserve">1</w:t>
      </w:r>
      <w:r w:rsidR="00000000" w:rsidRPr="00000000" w:rsidDel="00000000">
        <w:rPr>
          <w:rtl w:val="0"/>
        </w:rPr>
        <w:t xml:space="preserve"> punkta nosacījumus. Norādē secīgi raksta: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156.1. vārdus "noteikumi stājas spēkā";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156.2. noteikumu spēkā stāšanās datumu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159.7.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"159.7. norādi iekavās uz noteikumu un to grozījumu publikācijām oficiālajā izdevumā "Latvijas Vēstnesis" (oficiālā izdevuma nosaukums, attiecīgo numuru izdošanas gads un numuru uzskaitījums)."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"160. Ja noteikumus atzīst par spēku zaudējušiem ar citu noteikumu noslēguma jautājumu, tad šo noteikumu 159. punktā minēto teikumu raksta atbilstoši šo noteikumu 116.</w:t>
      </w:r>
      <w:r w:rsidR="00000000" w:rsidRPr="00000000" w:rsidDel="00000000">
        <w:rPr>
          <w:vertAlign w:val="superscript"/>
          <w:rtl w:val="0"/>
        </w:rPr>
        <w:t xml:space="preserve">1</w:t>
      </w:r>
      <w:r w:rsidR="00000000" w:rsidRPr="00000000" w:rsidDel="00000000">
        <w:rPr>
          <w:rtl w:val="0"/>
        </w:rPr>
        <w:t xml:space="preserve">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162.3.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"162.3. informatīvas atsauces uz Eiropas Savienības regulām, ar ko groza direktīvas, ja likumprojektā vai noteikumu projektā ir iekļautas tiesību normas, kas pārņem tās Eiropas Savienības regulas prasības, ar ko groza direktīvas."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Informatīvo atsauci uz Eiropas Savienības direktīvām vai regulām, ar ko groza direktīvas, raksta likumprojekta beigās pirms likuma pieņemšanas un spēkā stāšanās noteikumiem vai noteikumu projekta beigās. Ja likumprojektam ir pārejas noteikumi, bet noteikumu projektam – noslēguma jautājumi, informatīvo atsauci uz Eiropas Savienības tiesību aktiem raksta aiz pārejas noteikumiem vai noslēguma jautājumiem."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Informatīvo atsauci uz Eiropas Savienības tiesību aktiem raksta kā atsevišķu nenumurētu rindkopu ar nosaukumu "Informatīva atsauce uz Eiropas Savienības direktīvām", ja atsauce ietver šo noteikumu 162.1. apakšpunktā minēto tiesību aktu, vai "Informatīva atsauce uz Eiropas Savienības direktīvām un regulām, ar ko groza direktīvas", ja atsauce vienlaikus ietver šo noteikumu 162.3. apakšpunktā minēto tiesību aktu."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Informatīvās atsauces uz direktīvām vai regulām, ar ko groza direktīvas, raksta atsevišķos punktos."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169.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Informatīvo atsauci uz Eiropas Savienības regulu, ar ko groza direktīvu, veido, ievērojot šajā nodaļā minētās prasības, aizstājot vārdu "direktīva" (attiecīgā locījumā) ar vārdu "regula"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191.1.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vārdus "izdots saskaņā ar", ievērojot iekšējā normatīvā akta nomenklatūras 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193.1.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"193.1. vārdus "izdots saskaņā ar", ievērojot iekšējā normatīvā akta nomenklatūras 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193.4.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"193.4. vārdu "noteikumu";".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23-TA-767</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23-TA-767</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noteikumu_(grozījumu)_projekts_23-TA-767.docx</dc:title>
</cp:coreProperties>
</file>

<file path=docProps/custom.xml><?xml version="1.0" encoding="utf-8"?>
<Properties xmlns="http://schemas.openxmlformats.org/officeDocument/2006/custom-properties" xmlns:vt="http://schemas.openxmlformats.org/officeDocument/2006/docPropsVTypes"/>
</file>