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Publiskas personas finanšu līdzekļu un mantas izšķērdēšanas novēršanas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Publiskas personas finanšu līdzekļu un mantas izšķērdēšanas novēršanas likumā (Latvijas Republikas Saeimas un Ministru Kabineta Ziņotājs, 1995, 17. nr.; 1997, 5. nr.; 2001, 24. nr.; 2002, 14. nr.; 2008, 8., 24. nr.; Latvijas Vēstnesis, 2009, 157. nr.; 2010, 148. nr.; 2012, 183. nr.; 2014, 63. nr.; 2017, 203. nr.; 2018, 3. nr.; 2019, 108. nr.; 2023, 203.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piekritīgo nekustamo īpašumu pārņemšanu, uzskaiti un nodošanu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Nodrošinājuma valsts aģentūra,  Pārtikas un veterinārais dienests,  Dabas aizsardzības pārvalde un pašvaldības nodrošina valstij piekritīgās kustamās mantas pārņemšanu, glabāšanu, uzskaiti, realizāciju, nodošanu bez maksas, iznīcināšanu un realizācijas ieņēmumu ieskaitīšanu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un pašvaldību budžetā, kā arī gadījumus, kuros šā panta otrajā daļā minētās institūcijas veic darbības ar valstij piekritīgo kustamo mantu."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14.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 Ja manta atzīta par piekritīgu valstij līdz šā likuma 3.</w:t>
      </w:r>
      <w:r w:rsidR="00000000" w:rsidRPr="00000000" w:rsidDel="00000000">
        <w:rPr>
          <w:vertAlign w:val="superscript"/>
          <w:rtl w:val="0"/>
        </w:rPr>
        <w:t xml:space="preserve">1</w:t>
      </w:r>
      <w:r w:rsidR="00000000" w:rsidRPr="00000000" w:rsidDel="00000000">
        <w:rPr>
          <w:rtl w:val="0"/>
        </w:rPr>
        <w:t xml:space="preserve"> panta spēkā stāšanās dienai, Valsts ieņēmumu dienests pabeidz darbības ar valstij piekritīgo mantu atbilstoši normatīvajiem aktiem, kas bija spēkā līdz 2024. gada 30. jūnijam."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23-TA-1345</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23-TA-1345</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likumprojekts_(grozījumi)_23-TA-1345.docx</dc:title>
</cp:coreProperties>
</file>

<file path=docProps/custom.xml><?xml version="1.0" encoding="utf-8"?>
<Properties xmlns="http://schemas.openxmlformats.org/officeDocument/2006/custom-properties" xmlns:vt="http://schemas.openxmlformats.org/officeDocument/2006/docPropsVTypes"/>
</file>