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Dzeramā ūdens nekaitīguma un kvalitātes novērtēšanai izmantotās minimālās rādītāju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Mikrobioloģiskie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tabula</w:t>
      </w:r>
    </w:p>
    <w:tbl>
      <w:tblPr>
        <w:tblStyle w:val="DefaultTable"/>
        <w:bidiVisual w:val="0"/>
        <w:tblW w:w="101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
        <w:gridCol w:w="1702"/>
        <w:gridCol w:w="857"/>
        <w:gridCol w:w="2222"/>
        <w:gridCol w:w="3848"/>
        <w:tblGridChange w:id="0">
          <w:tblGrid>
            <w:gridCol w:w="744"/>
            <w:gridCol w:w="1702"/>
            <w:gridCol w:w="857"/>
            <w:gridCol w:w="2222"/>
            <w:gridCol w:w="38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Zarnu enterokoki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Mikroorganismu koloniju veidojošo vienību (KVV) skaits /100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Dzeramajam ūdenim, kas pildīts cisternās, vienība ir KVV skaits/250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i w:val="1"/>
                <w:rtl w:val="0"/>
              </w:rPr>
              <w:t xml:space="preserve">Escherichia coli (E. coli)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KVV skaits/100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Dzeramajam ūdenim, kas pildīts cisternās, vienība ir KVV skaits/250 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Ķīmiskie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6"/>
        <w:gridCol w:w="1454"/>
        <w:gridCol w:w="1168"/>
        <w:gridCol w:w="961"/>
        <w:gridCol w:w="5568"/>
        <w:tblGridChange w:id="0">
          <w:tblGrid>
            <w:gridCol w:w="596"/>
            <w:gridCol w:w="1454"/>
            <w:gridCol w:w="1168"/>
            <w:gridCol w:w="961"/>
            <w:gridCol w:w="556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0"/>
                <w:rtl w:val="0"/>
              </w:rPr>
              <w:t xml:space="preserve">Akrilamīds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 0,10 μg/l attiecas uz monomēra atlikuma koncentrāciju ūdenī, kas aprēķināta saskaņā ar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Antimons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Arsēns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Benzols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Benzo(a)pirēns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Bisfenols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2,4 mg/l piemēro, kad atsāļots ūdens ir galvenais attiecīgās ūdensapgādes sistēmas ūdens avots, vai reģionos, kur ģeoloģiskie apstākļi varētu radīt augstus bora līmeņus gruntsūdenī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Bromāti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Kadmijs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0,70 mg/l piemēro, ja dzeramā ūdens dezinfekcijai izmanto dezinfekcijas metodi, kuras rezultātā rodas hlorāts, jo īpaši hlora dioksīds. Ja tas iespējams, neradot negatīvu ietekmi uz dezinfekciju, cenšas panākt zemāku vērtību, veicot pasākumus zemākas rādītāju vērtības panākšanai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0,70 mg/l piemēro, ja dzeramā ūdens dezinfekcijai izmanto dezinfekcijas metodi, kuras rezultātā rodas hlorīts, jo īpaši hlora dioksīds. Ja tas iespējams, neradot negatīvu ietekmi uz dezinfekciju, cenšas panākt zemāku vērtību</w:t>
            </w:r>
            <w:r w:rsidR="00000000" w:rsidRPr="00000000" w:rsidDel="00000000">
              <w:rPr>
                <w:rtl w:val="0"/>
              </w:rPr>
              <w:t xml:space="preserve">, </w:t>
            </w:r>
            <w:r w:rsidR="00000000" w:rsidRPr="00000000" w:rsidDel="00000000">
              <w:rPr>
                <w:sz w:val="20"/>
                <w:rtl w:val="0"/>
              </w:rPr>
              <w:t xml:space="preserve">veicot pasākumus zemākas rādītāju vērtības panākšanai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Hroms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noteikumu noslēguma jautājumos noteikti pārejas laika nosacījumi rādītāja vērtībai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Varš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Cianīdi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1,2-dihloretāns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Epihlorhidrīns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 0,10 μg/l attiecas uz monomēra atlikuma koncentrāciju ūdenī, kas aprēķināta saskaņā ar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Fluorīdi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Halogēnetiķskābes (HAA5)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rādītāju mēra tikai tad, ja dzeramā ūdens dezinfekcijai izmanto dezinfekcijas metodes, kas var radīt halogēnetiķskābes. Tā ir šādu piecu reprezentatīvu vielu summa: monohloretiķskābe, dihloretiķskābe, trihloretiķskābe, monobrometiķskābe un dibrometiķskābe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noteikumu noslēguma jautājumos noteikti pārejas laika nosacījumi rādītāja vērtībai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Dzīvsudrabs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Mikrocistīns-LR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rādītāju mēra tikai gadījumā, ja ūdens ieguves vietā pastāv potenciāla ūdens ziedēšana (kas palielina cianobaktēriju šūnu blīvumu vai ziedēšanas veidošanās potenciālu)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Niķelis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Nitrāti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bscript"/>
                <w:rtl w:val="0"/>
              </w:rPr>
              <w:t xml:space="preserve">Jānodrošina, ka nosacījums [nitrāti]/50 + [nitrīti]/3 ≤ 1, kur kvadrātiekavas apzīmē koncentrācijas mg/l nitrātam (NO3) un nitrītam (NO2), ir izpildīts un ka pēc ūdens attīrīšanas ir panākta atbilstība rādītāja vērtībai nitrītiem 0,10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Nitrīti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bscript"/>
                <w:rtl w:val="0"/>
              </w:rPr>
              <w:t xml:space="preserve">Jānodrošina, ka nosacījums [nitrāti]/50 + [nitrīti]/3 ≤ 1, kur kvadrātiekavas apzīmē koncentrācijas mg/l nitrātam (NO3) un nitrītam (NO2), ir izpildīts un ka pēc ūdens attīrīšanas ir panākta atbilstība rādītāja vērtībai nitrītiem 0,10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insekticīdi,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herbicīdi,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fungicīdi,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nematocīdi,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akaricīdi,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algicīdi,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rodenticīdi,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slimicīdi,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saistīti produkti (arī augšanas regulatori),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metabolīti, kā definēts Eiropas Parlamenta un Padomes Regulas (EK) Nr. 1107/2009 3. panta 32. punktā ([1]), kurus uzskata par nozīmīgiem attiecībā uz dzeramo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Pesticīdu metabolītu uzskata par nozīmīgu attiecībā uz dzeramo ūdeni, ja ir pamats uzskatīt, ka pesticīda mērķa iedarbības ziņā tam piemīt raksturīgas īpašības, kas ir salīdzināmas ar tām, kādas piemīt vielai, no kuras tas radies, vai ka tas (pats vai tā transformācijas produkti) rada risku patērētāju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0,10 μg/l katram pesticīdam piemēro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Aldrīna, dieldrīna, heptahlora un heptahlorepoksīda gadījumā rādītāja vērtība ir 0,030 μg/l.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Tikai pesticīdiem, kas varētu būt klātesoši konkrētajā piegādē, nepieciešams monitorings.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w:t>
            </w:r>
            <w:r w:rsidR="00000000" w:rsidRPr="00000000" w:rsidDel="00000000">
              <w:rPr>
                <w:sz w:val="20"/>
                <w:rtl w:val="0"/>
              </w:rPr>
              <w:t xml:space="preserve">Eiropas Parlamenta un Padomes Regula (EK) Nr. 1107/2009 ( 2009. gada 21. oktobris ) par augu aizsardzības līdzekļu laišanu tirgū, ar ko atceļ Padomes Direktīvas 79/117/EEK un 91/414/EEK</w:t>
            </w:r>
            <w:r w:rsidR="00000000" w:rsidRPr="00000000" w:rsidDel="00000000">
              <w:rPr>
                <w:rtl w:val="0"/>
              </w:rPr>
              <w:t xml:space="preserve"> </w:t>
            </w:r>
            <w:r w:rsidR="00000000" w:rsidRPr="00000000" w:rsidDel="00000000">
              <w:rPr>
                <w:sz w:val="20"/>
                <w:rtl w:val="0"/>
              </w:rPr>
              <w:t xml:space="preserve"> (OV L 309, 24.11.2009., 1. lpp.)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 kopā'' nozīmē visu atsevišķo monitoringa procedūrā konstatēto un kvantitatīvi noteikto pesticīdu summu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kopā'' ir perfluoralkilētu un polifluoralkilētu vielu kopums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summa'' ir to perfluoralkilētu un polifluoralkilētu vielu summa, kuras tiek uzskatītas par problemātiskām attiecībā uz dzeramo ūdeni un uzskaitītas šo noteikumu 5. pielikuma 4. punktā. Tā ir “PFAS kopā” vielu apakšgrupa, kas ietver perfluoralkilētu grupu ar trim vai vairāk oglekļa atomiem (piemēram, –CnF2n–, n≥ 3) vai perfluoralkila ētera grupu ar diviem vai vairāk oglekļa atomiem (piemēram, –CnF2nOCmF2m–, n un m≥ 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Policikliskie aromātiskie ogļūdeņraži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Šādu noteiktu savienojumu summārā koncentrācija: benz(b)fluorantēns, benz(k)fluorantēns, benz(ghi)perilēns un indeno(1,2,3-cd)pirēns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Selēns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30 μg/l piemēro reģionos, kur ģeoloģiskie apstākļi varētu radīt augstus selēna līmeņus gruntsūdeņos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Tetrahloretēns un trihloretēns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divu rādītāju summārā koncentrācija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Trihalometāni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Ja tas iespējams, neradot negatīvu ietekmi uz dezinfekciju, ūdens piegādātājs cenšas panākt zemāku rādītāja vērtību, veicot attiecīgus pasākumus. Tā ir šādu noteiktu savienojumu summārā koncentrācija: hloroforms, bromoforms, dibromhlormetāns un bromdihlormetāns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Vinilhlorīds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 0,50 μg/l attiecas uz monomēra atlikuma koncentrāciju ūdenī, kas aprēķināta saskaņā ar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17-beta-estradiols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Kontrolsaraksta viela un tās orientējošā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Nonilfenols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Kontrolsaraksta </w:t>
            </w:r>
            <w:r w:rsidR="00000000" w:rsidRPr="00000000" w:rsidDel="00000000">
              <w:rPr>
                <w:sz w:val="20"/>
                <w:rtl w:val="0"/>
              </w:rPr>
              <w:t xml:space="preserve">viela un tās orientējošā vērtība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Indikatorrādītāji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4"/>
        <w:gridCol w:w="1083"/>
        <w:gridCol w:w="1162"/>
        <w:gridCol w:w="1438"/>
        <w:gridCol w:w="5651"/>
        <w:tblGridChange w:id="0">
          <w:tblGrid>
            <w:gridCol w:w="414"/>
            <w:gridCol w:w="1083"/>
            <w:gridCol w:w="1162"/>
            <w:gridCol w:w="1438"/>
            <w:gridCol w:w="56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Alumīnijs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Amonijs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Ūdens nedrīkst būt korozīvs</w:t>
            </w:r>
            <w:r w:rsidR="00000000" w:rsidRPr="00000000" w:rsidDel="00000000">
              <w:rPr>
                <w:sz w:val="24"/>
                <w:vertAlign w:val="superscript"/>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i w:val="1"/>
                <w:rtl w:val="0"/>
              </w:rPr>
              <w:t xml:space="preserve">Clostridium perfringens (ieskaitot sporas)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skaits/100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Rādītāju mēra, ja riska novērtējums norāda, ka to darīt ir atbilstoši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Krāsa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Elektrovadītspēja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μS cm-1 20 °C temperatūrā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Ūdens nedrīkst būt agresīvs</w:t>
            </w:r>
            <w:r w:rsidR="00000000" w:rsidRPr="00000000" w:rsidDel="00000000">
              <w:rPr>
                <w:vertAlign w:val="superscript"/>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Ūdeņraža jonu koncentrācija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6,5 un ≤ 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pH vienības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Ūdens nedrīkst būt agresīvs.</w:t>
            </w:r>
            <w:r w:rsidR="00000000" w:rsidRPr="00000000" w:rsidDel="00000000">
              <w:rPr>
                <w:vertAlign w:val="superscript"/>
                <w:rtl w:val="0"/>
              </w:rPr>
              <w:t xml:space="preserve">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Negāzētam dzeramajam ūdenim, kas pildīts cisternās, minimālo vērtību var samazināt līdz 4,5 pH vienībām. Dzeramajam ūdenim, kas pildīts cisternās un kas ir dabiski bagāts vai mākslīgi bagātināts ar oglekļa dioksīdu, minimālā vērtība var būt zemāka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Dzelzs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Mangāns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Smarža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Oksidējamība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bscript"/>
                <w:rtl w:val="0"/>
              </w:rPr>
              <w:t xml:space="preserve">mg/l O2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 nav jāmēra, ja tiek analizēts TOC rādītājs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Sulfāti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Ūdens nedrīkst būt korozīvs</w:t>
            </w:r>
            <w:r w:rsidR="00000000" w:rsidRPr="00000000" w:rsidDel="00000000">
              <w:rPr>
                <w:vertAlign w:val="superscript"/>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Nātrijs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Garša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Mikroorganismu KVV skaits  22 °C temperatūrā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Koliformas baktērijas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KVV skaits/100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Dzeramajam ūdenim, kas pildīts cisternās, vienība ir KVV skaits/250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Kopējais organiskais ogleklis (TOC)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Rādītājs nav jāmēra piegādēm, kas ir mazākas par 10 000 m3 ūdens diennaktī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Duļķainība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 Ūdens nedrīkst būt ne agresīvs, ne korozīvs. Tas jo īpaši attiecas uz ūdeni, kas tiek apstrādāts (demineralizācija, mīkstināšana, apstrāde, lietojot membrānu tehnoloģiju, reversā osmoze utt.).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2. Ja dzeramo ūdeni iegūst no apstrādes, kuras rezultātā ūdens tiek ievērojami demineralizēts vai mīkstināts, ūdens uzlabošanai varētu pievienot kalcija un magnija sāļus, lai samazinātu jebkādu ūdens iespējamu negatīvu ietekmi uz veselību, kā arī samazinātu ūdens koroziju vai agresiju un uzlabotu garšu. Minimālo kalcija un magnija vai kopējo izšķīdušo daļiņu koncentrāciju mīkstinātā vai demineralizētā ūdenī varētu noteikt, ņemot vērā ūdens īpašības, kas iekļūst minētajos procesos.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Ēkas ūdensapgādes inženiertīkla riska novērtēšanai būtiskie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30"/>
        <w:gridCol w:w="1573"/>
        <w:gridCol w:w="1427"/>
        <w:gridCol w:w="1264"/>
        <w:gridCol w:w="4856"/>
        <w:tblGridChange w:id="0">
          <w:tblGrid>
            <w:gridCol w:w="630"/>
            <w:gridCol w:w="1573"/>
            <w:gridCol w:w="1427"/>
            <w:gridCol w:w="1264"/>
            <w:gridCol w:w="48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i w:val="1"/>
                <w:rtl w:val="0"/>
              </w:rPr>
              <w:t xml:space="preserve">Legionella spp. </w:t>
            </w:r>
            <w:r w:rsidR="00000000" w:rsidRPr="00000000" w:rsidDel="00000000">
              <w:rPr>
                <w:sz w:val="20"/>
                <w:rtl w:val="0"/>
              </w:rPr>
              <w:t xml:space="preserve">baktērijas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&lt; 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KVV/l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Šī rādītāja vērtība ir noteikta ūdensapgādes inženiertīkla riska novērtēšanai un korektīvo pasākumu īstenošanai. Šo noteikumu </w:t>
            </w:r>
            <w:r w:rsidR="00000000" w:rsidRPr="00000000" w:rsidDel="00000000">
              <w:rPr>
                <w:sz w:val="22"/>
                <w:rtl w:val="0"/>
              </w:rPr>
              <w:t xml:space="preserve">79.3. apakšpunktā </w:t>
            </w:r>
            <w:r w:rsidR="00000000" w:rsidRPr="00000000" w:rsidDel="00000000">
              <w:rPr>
                <w:sz w:val="20"/>
                <w:i w:val="1"/>
                <w:rtl w:val="0"/>
              </w:rPr>
              <w:t xml:space="preserve"> paredzēto darbību veikšanu apsver pat zem rādītāja vērtības, piemēram, infekciju un uzliesmojumu gadījumā. Šādos gadījumos būtu jāapstiprina infekcijas avots un jāidentificē Legionella suga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noteikumu noslēguma jautājumos noteikti pārejas laika nosacījumi rādītāja vērtībai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Operacionālās monitoringa programmas rādītāji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5.1. </w:t>
      </w:r>
      <w:r w:rsidR="00000000" w:rsidRPr="00000000" w:rsidDel="00000000">
        <w:rPr>
          <w:rtl w:val="0"/>
        </w:rPr>
        <w:t xml:space="preserve">Monitoringa programmas ietver arī operacionālā monitoringa programmu, kura sniedz ātru priekšstatu par operacionālajiem rādītājiem un ūdens kvalitātes problēmām un dod iespēju ātri veikt iepriekš ieplānotus korektīvus pasākumus. Šādas operacionālā monitoringa programmas pielāgo piegādes apstākļiem, ņemot vērā apdraudējumu un bīstamu notikumu identificēšanas un ūdensapgādes sistēmas riska novērtēšanas un riska pārvaldības iznākumus. To mērķis ir pārliecināties par visu ieguves, apstrādes, sadales un glabāšanas pasākumu efektivitāti.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5.2.</w:t>
      </w:r>
      <w:r w:rsidR="00000000" w:rsidRPr="00000000" w:rsidDel="00000000">
        <w:rPr>
          <w:rtl w:val="0"/>
        </w:rPr>
        <w:t xml:space="preserve"> Operacionālā monitoringa programmā uzrauga rādītāju ''duļķainība ūdens piegādes objektā'', lai regulāri kontrolētu fiziskās atdalīšanas efektivitāti saskaņā ar šī pielikuma 5.1. tabulā norādītajām atsauces vērtībām un biežumu (to nepiemēro gruntsūdens ieguves vietām, kur duļķainību izraisa dzelzs un mangāns).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2"/>
        <w:gridCol w:w="3794"/>
        <w:gridCol w:w="5461"/>
        <w:tblGridChange w:id="0">
          <w:tblGrid>
            <w:gridCol w:w="792"/>
            <w:gridCol w:w="3794"/>
            <w:gridCol w:w="54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Ekspluatācijas 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Duļķainība ūdens piegādes objektā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 NTU 95 % no paraugiem un neviens nepārsniedz 1 NTU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Ūdens apjoms (m3), kuru katru diennakti piegādā vai saražo piegādes zonā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Minimālais paraugu ņemšanas biežums un analīze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Katru nedēļu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&gt; 1 000 līdz ≤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Ik dienu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&gt;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Pastāvīgi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5.3. </w:t>
      </w:r>
      <w:r w:rsidR="00000000" w:rsidRPr="00000000" w:rsidDel="00000000">
        <w:rPr>
          <w:rtl w:val="0"/>
        </w:rPr>
        <w:t xml:space="preserve">Operacionālajā monitoringa programmā ietilpst arī šādu rādītāju monitorings neapstrādātā ūdenī, lai pārbaudītu, cik efektīvi ir apstrādes procesi pret mikrobioloģiskajiem riskiem: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1536"/>
        <w:gridCol w:w="1790"/>
        <w:gridCol w:w="1536"/>
        <w:gridCol w:w="4145"/>
        <w:tblGridChange w:id="0">
          <w:tblGrid>
            <w:gridCol w:w="740"/>
            <w:gridCol w:w="1536"/>
            <w:gridCol w:w="1790"/>
            <w:gridCol w:w="1536"/>
            <w:gridCol w:w="41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Ekspluatācijas 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Somatiskie kolifāgi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 (neapstrādātam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PVV/100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Rādītāju mēra, ja riska novērtēšana norāda, kas tas ir atbilstoši. Ja to konstatē neapstrādātā ūdenī koncentrācijā &gt; 50 PVV/100 ml, tas būtu jāanalizē pēc apstrādes pasākumiem, lai noteiktu, vai esošie ierobežojošie pasākumi  likvidē mikroorganismus, to samazinājumu izsakot logaritmiskajā skalā, un lai novērtētu, vai patogēno vīrusu izplatīšanās tiek pietiekami kontrolēta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noteikumu_projekts_p1_22-TA-2538.docx</dc:title>
</cp:coreProperties>
</file>

<file path=docProps/custom.xml><?xml version="1.0" encoding="utf-8"?>
<Properties xmlns="http://schemas.openxmlformats.org/officeDocument/2006/custom-properties" xmlns:vt="http://schemas.openxmlformats.org/officeDocument/2006/docPropsVTypes"/>
</file>