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Rādītāju un paraugu ņemšanas biežumi, metodes un paraugu ņemšanas punkti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Rādītāju saraksts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 A grupa (kārtējā monitoringa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1.1.1. </w:t>
      </w:r>
      <w:r w:rsidR="00000000" w:rsidRPr="00000000" w:rsidDel="00000000">
        <w:rPr>
          <w:rtl w:val="0"/>
        </w:rPr>
        <w:t xml:space="preserve">Šādus rādītājus (A grupa) monitorē saskaņā ar šī pielikuma 2. punkta 2.1. tabulā norādītajiem monitoringa biežumiem: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1.1.1.1. </w:t>
      </w:r>
      <w:r w:rsidR="00000000" w:rsidRPr="00000000" w:rsidDel="00000000">
        <w:rPr>
          <w:i w:val="1"/>
          <w:rtl w:val="0"/>
        </w:rPr>
        <w:t xml:space="preserve">Escherichia coli (E. coli),</w:t>
      </w:r>
      <w:r w:rsidR="00000000" w:rsidRPr="00000000" w:rsidDel="00000000">
        <w:rPr>
          <w:rtl w:val="0"/>
        </w:rPr>
        <w:t xml:space="preserve"> zarnu enterokoki, koliformas baktērijas, koloniju skaits 22 °C, krāsa, duļķainība, garša, smarža, pH un elektrovadītspēja;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1.1.1.2. citi rādītāji, kuri identificēti monitoringa programmā šo noteikumu prasību izpildei, t. sk. saskaņā ar veikto sateces baseina un ūdensapgādes sistēmas veikto riska novērtējumu.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1.1.2. </w:t>
      </w:r>
      <w:r w:rsidR="00000000" w:rsidRPr="00000000" w:rsidDel="00000000">
        <w:rPr>
          <w:rtl w:val="0"/>
        </w:rPr>
        <w:t xml:space="preserve">Šādus rādītājus monitorē vismaz vienreiz gadā: ūdens cietība, ūdenī izšķīdušie anjoni un katjoni: kalcijs (Ca), magnijs (Mg), kālijs (K).</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1.1.3. </w:t>
      </w:r>
      <w:r w:rsidR="00000000" w:rsidRPr="00000000" w:rsidDel="00000000">
        <w:rPr>
          <w:rtl w:val="0"/>
        </w:rPr>
        <w:t xml:space="preserve">Specifiskos norādītajos apstākļos A grupas rādītājiem pievieno šādus rādītājus: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1.1.3.1. amonijs un nitrīts, ja izmanto hloramināciju;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1.1.3.2. alumīnijs un dzelzs, ja tos izmanto par ūdens apstrādes ķimikālijām.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1.1.4. </w:t>
      </w:r>
      <w:r w:rsidR="00000000" w:rsidRPr="00000000" w:rsidDel="00000000">
        <w:rPr>
          <w:rtl w:val="0"/>
        </w:rPr>
        <w:t xml:space="preserve"> </w:t>
      </w:r>
      <w:r w:rsidR="00000000" w:rsidRPr="00000000" w:rsidDel="00000000">
        <w:rPr>
          <w:i w:val="1"/>
          <w:rtl w:val="0"/>
        </w:rPr>
        <w:t xml:space="preserve">Escherichia coli (E. coli)</w:t>
      </w:r>
      <w:r w:rsidR="00000000" w:rsidRPr="00000000" w:rsidDel="00000000">
        <w:rPr>
          <w:rtl w:val="0"/>
        </w:rPr>
        <w:t xml:space="preserve"> un zarnu enterokoki tiek uzskatīti par ''pamata rādītājiem'', un uz to monitoringa biežumu nevar attiecināt samazinājumu ūdensapgādes sistēmas riska novērtēšanas dēļ. Tos vienmēr monitorē vismaz 2. punkta 2.1. tabulā noteiktajos biežumos.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1.2. B grupa (auditmonitoringa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1.2.1. </w:t>
      </w:r>
      <w:r w:rsidR="00000000" w:rsidRPr="00000000" w:rsidDel="00000000">
        <w:rPr>
          <w:rtl w:val="0"/>
        </w:rPr>
        <w:t xml:space="preserve">Lai noteiktu atbilstību visām šajos noteikumos noteiktajām rādītāju vērtībām, visus citus rādītājus, kurus neanalizē A grupā un kuri ir noteikti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izņemot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ietvertos rādītājus, monitorē vismaz tādos biežumos, kas noteikti šī pielikuma 2. punkta 2.1. tabulā, ja vien cits paraugu ņemšanas biežums nav noteikts, balstoties uz ūdensapgādes sistēmas riska novērtēšanu.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1.2.2.</w:t>
      </w:r>
      <w:r w:rsidR="00000000" w:rsidRPr="00000000" w:rsidDel="00000000">
        <w:rPr>
          <w:rtl w:val="0"/>
        </w:rPr>
        <w:t xml:space="preserve"> Ūdens piegādātājs papildus B grupas rādītājos (auditmonitoringā) var iekļaut arī A grupas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Paraugu ņemšanas biežumi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tabula. </w:t>
      </w:r>
      <w:r w:rsidR="00000000" w:rsidRPr="00000000" w:rsidDel="00000000">
        <w:rPr>
          <w:rtl w:val="0"/>
        </w:rPr>
        <w:t xml:space="preserve">Minimālais paraugu ņemšanas un analizēšanas biežums atbilstības monitoringam</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6"/>
        <w:gridCol w:w="2606"/>
        <w:gridCol w:w="2606"/>
        <w:gridCol w:w="2937"/>
        <w:gridCol w:w="3790"/>
        <w:tblGridChange w:id="0">
          <w:tblGrid>
            <w:gridCol w:w="566"/>
            <w:gridCol w:w="2606"/>
            <w:gridCol w:w="2606"/>
            <w:gridCol w:w="2937"/>
            <w:gridCol w:w="3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Nr. p. k.</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Ūdens apjoms, kuru diennaktī piegādā vai saražo piegādes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(Sk. 1. un 2. piezīmi) m</w:t>
            </w:r>
            <w:r w:rsidR="00000000" w:rsidRPr="00000000" w:rsidDel="00000000">
              <w:rPr>
                <w:sz w:val="22"/>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A grupas rādītāja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paraugu skaits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B grupas rādītāja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rtl w:val="0"/>
              </w:rPr>
              <w:t xml:space="preserve">paraugu skaits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&lt;10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0 (Sk. 4. piezīmi)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0 (Sk. 4.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(Sk. 5.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10 000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 par pirmajiem 1000 m</w:t>
            </w:r>
            <w:r w:rsidR="00000000" w:rsidRPr="00000000" w:rsidDel="00000000">
              <w:rPr>
                <w:sz w:val="22"/>
                <w:vertAlign w:val="superscript"/>
                <w:rtl w:val="0"/>
              </w:rPr>
              <w:t xml:space="preserve">3</w:t>
            </w:r>
            <w:r w:rsidR="00000000" w:rsidRPr="00000000" w:rsidDel="00000000">
              <w:rPr>
                <w:sz w:val="22"/>
                <w:rtl w:val="0"/>
              </w:rPr>
              <w:t xml:space="preserve"> ūdens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+ 3 uz katriem papildu 1000</w:t>
            </w:r>
            <w:r w:rsidR="00000000" w:rsidRPr="00000000" w:rsidDel="00000000">
              <w:rPr>
                <w:rtl w:val="0"/>
              </w:rPr>
              <w:t xml:space="preserve"> </w:t>
            </w:r>
            <w:r w:rsidR="00000000" w:rsidRPr="00000000" w:rsidDel="00000000">
              <w:rPr>
                <w:sz w:val="22"/>
                <w:rtl w:val="0"/>
              </w:rPr>
              <w:t xml:space="preserve">m</w:t>
            </w:r>
            <w:r w:rsidR="00000000" w:rsidRPr="00000000" w:rsidDel="00000000">
              <w:rPr>
                <w:sz w:val="22"/>
                <w:vertAlign w:val="superscript"/>
                <w:rtl w:val="0"/>
              </w:rPr>
              <w:t xml:space="preserve">3</w:t>
            </w:r>
            <w:r w:rsidR="00000000" w:rsidRPr="00000000" w:rsidDel="00000000">
              <w:rPr>
                <w:sz w:val="22"/>
                <w:rtl w:val="0"/>
              </w:rPr>
              <w:t xml:space="preserve"> ūdens diennaktī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par pirmajiem 1000 m</w:t>
            </w:r>
            <w:r w:rsidR="00000000" w:rsidRPr="00000000" w:rsidDel="00000000">
              <w:rPr>
                <w:sz w:val="22"/>
                <w:vertAlign w:val="superscript"/>
                <w:rtl w:val="0"/>
              </w:rPr>
              <w:t xml:space="preserve">3</w:t>
            </w:r>
            <w:r w:rsidR="00000000" w:rsidRPr="00000000" w:rsidDel="00000000">
              <w:rPr>
                <w:sz w:val="22"/>
                <w:rtl w:val="0"/>
              </w:rPr>
              <w:t xml:space="preserve"> ūdens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 uz katriem papildu 4500 m</w:t>
            </w:r>
            <w:r w:rsidR="00000000" w:rsidRPr="00000000" w:rsidDel="00000000">
              <w:rPr>
                <w:sz w:val="22"/>
                <w:vertAlign w:val="superscript"/>
                <w:rtl w:val="0"/>
              </w:rPr>
              <w:t xml:space="preserve">3 </w:t>
            </w:r>
            <w:r w:rsidR="00000000" w:rsidRPr="00000000" w:rsidDel="00000000">
              <w:rPr>
                <w:sz w:val="22"/>
                <w:rtl w:val="0"/>
              </w:rPr>
              <w:t xml:space="preserve">ūdens</w:t>
            </w:r>
            <w:r w:rsidR="00000000" w:rsidRPr="00000000" w:rsidDel="00000000">
              <w:rPr>
                <w:sz w:val="22"/>
                <w:vertAlign w:val="superscript"/>
                <w:rtl w:val="0"/>
              </w:rPr>
              <w:t xml:space="preserve"> </w:t>
            </w:r>
            <w:r w:rsidR="00000000" w:rsidRPr="00000000" w:rsidDel="00000000">
              <w:rPr>
                <w:sz w:val="22"/>
                <w:rtl w:val="0"/>
              </w:rPr>
              <w:t xml:space="preserve">diennaktī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100 000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 par pirmajiem 10 000 m</w:t>
            </w:r>
            <w:r w:rsidR="00000000" w:rsidRPr="00000000" w:rsidDel="00000000">
              <w:rPr>
                <w:sz w:val="22"/>
                <w:vertAlign w:val="superscript"/>
                <w:rtl w:val="0"/>
              </w:rPr>
              <w:t xml:space="preserve">3</w:t>
            </w:r>
            <w:r w:rsidR="00000000" w:rsidRPr="00000000" w:rsidDel="00000000">
              <w:rPr>
                <w:sz w:val="22"/>
                <w:rtl w:val="0"/>
              </w:rPr>
              <w:t xml:space="preserve"> ūdens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+ 1 uz katriem papildu 10 000 m</w:t>
            </w:r>
            <w:r w:rsidR="00000000" w:rsidRPr="00000000" w:rsidDel="00000000">
              <w:rPr>
                <w:sz w:val="22"/>
                <w:vertAlign w:val="superscript"/>
                <w:rtl w:val="0"/>
              </w:rPr>
              <w:t xml:space="preserve">3</w:t>
            </w:r>
            <w:r w:rsidR="00000000" w:rsidRPr="00000000" w:rsidDel="00000000">
              <w:rPr>
                <w:sz w:val="22"/>
                <w:rtl w:val="0"/>
              </w:rPr>
              <w:t xml:space="preserve"> ūdens diennaktī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&gt;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12 par pirmajiem 100 000 m</w:t>
            </w:r>
            <w:r w:rsidR="00000000" w:rsidRPr="00000000" w:rsidDel="00000000">
              <w:rPr>
                <w:sz w:val="22"/>
                <w:vertAlign w:val="superscript"/>
                <w:rtl w:val="0"/>
              </w:rPr>
              <w:t xml:space="preserve">3</w:t>
            </w:r>
            <w:r w:rsidR="00000000" w:rsidRPr="00000000" w:rsidDel="00000000">
              <w:rPr>
                <w:sz w:val="22"/>
                <w:rtl w:val="0"/>
              </w:rPr>
              <w:t xml:space="preserve"> ūdens diennaktī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uz katriem papildu 25 000 m</w:t>
            </w:r>
            <w:r w:rsidR="00000000" w:rsidRPr="00000000" w:rsidDel="00000000">
              <w:rPr>
                <w:sz w:val="22"/>
                <w:vertAlign w:val="superscript"/>
                <w:rtl w:val="0"/>
              </w:rPr>
              <w:t xml:space="preserve">3</w:t>
            </w:r>
            <w:r w:rsidR="00000000" w:rsidRPr="00000000" w:rsidDel="00000000">
              <w:rPr>
                <w:sz w:val="22"/>
                <w:rtl w:val="0"/>
              </w:rPr>
              <w:t xml:space="preserve"> ūdens diennaktī un to daļu no kopējā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3. piezīmi)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1.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Piegādes zona ir ģeogrāfiski definēts apgabals, kurā no vienas vai vairākām ūdens ieguves vietām iegūst dzeramo ūdeni un kurā ūdens kvalitāti var uzskatīt par aptuveni vienādu.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2.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Apjomus rēķina kā kalendāra gada vidējos apjomus. Biežuma minimuma noteikšanai var arī izmantot nevis ūdens apjomu, bet gan iedzīvotāju skaitu piegādes zonā, pieņemot, ka ūdens patēriņš ir 200</w:t>
      </w:r>
      <w:r w:rsidR="00000000" w:rsidRPr="00000000" w:rsidDel="00000000">
        <w:rPr>
          <w:rtl w:val="0"/>
        </w:rPr>
        <w:t xml:space="preserve"> </w:t>
      </w:r>
      <w:r w:rsidR="00000000" w:rsidRPr="00000000" w:rsidDel="00000000">
        <w:rPr>
          <w:sz w:val="24"/>
          <w:rtl w:val="0"/>
        </w:rPr>
        <w:t xml:space="preserve">l dienā uz vienu iedzīvotāju.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3.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Norādīto biežumu rēķina šādi: piem., 4</w:t>
      </w:r>
      <w:r w:rsidR="00000000" w:rsidRPr="00000000" w:rsidDel="00000000">
        <w:rPr>
          <w:sz w:val="24"/>
          <w:rtl w:val="0"/>
        </w:rPr>
        <w:t xml:space="preserve">300 m</w:t>
      </w:r>
      <w:r w:rsidR="00000000" w:rsidRPr="00000000" w:rsidDel="00000000">
        <w:rPr>
          <w:sz w:val="24"/>
          <w:vertAlign w:val="superscript"/>
          <w:rtl w:val="0"/>
        </w:rPr>
        <w:t xml:space="preserve">3</w:t>
      </w:r>
      <w:r w:rsidR="00000000" w:rsidRPr="00000000" w:rsidDel="00000000">
        <w:rPr>
          <w:sz w:val="24"/>
          <w:rtl w:val="0"/>
        </w:rPr>
        <w:t xml:space="preserve"> ūdens diennaktī = 16 paraugi A grupas rādītājiem (četri par pirmajiem 1</w:t>
      </w:r>
      <w:r w:rsidR="00000000" w:rsidRPr="00000000" w:rsidDel="00000000">
        <w:rPr>
          <w:sz w:val="24"/>
          <w:rtl w:val="0"/>
        </w:rPr>
        <w:t xml:space="preserve">000 m</w:t>
      </w:r>
      <w:r w:rsidR="00000000" w:rsidRPr="00000000" w:rsidDel="00000000">
        <w:rPr>
          <w:sz w:val="24"/>
          <w:vertAlign w:val="superscript"/>
          <w:rtl w:val="0"/>
        </w:rPr>
        <w:t xml:space="preserve">3</w:t>
      </w:r>
      <w:r w:rsidR="00000000" w:rsidRPr="00000000" w:rsidDel="00000000">
        <w:rPr>
          <w:sz w:val="24"/>
          <w:rtl w:val="0"/>
        </w:rPr>
        <w:t xml:space="preserve"> ūdens diennaktī + 12 par papildu 3</w:t>
      </w:r>
      <w:r w:rsidR="00000000" w:rsidRPr="00000000" w:rsidDel="00000000">
        <w:rPr>
          <w:sz w:val="24"/>
          <w:rtl w:val="0"/>
        </w:rPr>
        <w:t xml:space="preserve">300 m</w:t>
      </w:r>
      <w:r w:rsidR="00000000" w:rsidRPr="00000000" w:rsidDel="00000000">
        <w:rPr>
          <w:sz w:val="24"/>
          <w:vertAlign w:val="superscript"/>
          <w:rtl w:val="0"/>
        </w:rPr>
        <w:t xml:space="preserve">3</w:t>
      </w:r>
      <w:r w:rsidR="00000000" w:rsidRPr="00000000" w:rsidDel="00000000">
        <w:rPr>
          <w:sz w:val="24"/>
          <w:rtl w:val="0"/>
        </w:rPr>
        <w:t xml:space="preserve"> ūdens diennaktī).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4.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Ūdens piegādātājiem, kam nav piešķirts atbrīvojums saskaņā ar šo noteikumu </w:t>
      </w:r>
      <w:r w:rsidR="00000000" w:rsidRPr="00000000" w:rsidDel="00000000">
        <w:rPr>
          <w:sz w:val="24"/>
          <w:rtl w:val="0"/>
        </w:rPr>
        <w:t xml:space="preserve">4.5.</w:t>
      </w:r>
      <w:r w:rsidR="00000000" w:rsidRPr="00000000" w:rsidDel="00000000">
        <w:rPr>
          <w:sz w:val="24"/>
          <w:rtl w:val="0"/>
        </w:rPr>
        <w:t xml:space="preserve"> apakšpunktu, inspekcija nosaka minimālo paraugu ņemšanas biežumu attiecībā uz A un B grupas rādītājiem  ar noteikumu, ka pamata rādītājus monitorē vismaz vienreiz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5.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Inspekcija var samazināt paraugu ņemšanas biežumu ar noteikumu, ka visi šo noteikumu </w:t>
      </w:r>
      <w:r w:rsidR="00000000" w:rsidRPr="00000000" w:rsidDel="00000000">
        <w:rPr>
          <w:sz w:val="24"/>
          <w:rtl w:val="0"/>
        </w:rPr>
        <w:t xml:space="preserve">1. pielikumā</w:t>
      </w:r>
      <w:r w:rsidR="00000000" w:rsidRPr="00000000" w:rsidDel="00000000">
        <w:rPr>
          <w:sz w:val="24"/>
          <w:rtl w:val="0"/>
        </w:rPr>
        <w:t xml:space="preserve"> noteiktie rādītāji, izņemot šo noteikumu </w:t>
      </w:r>
      <w:r w:rsidR="00000000" w:rsidRPr="00000000" w:rsidDel="00000000">
        <w:rPr>
          <w:sz w:val="24"/>
          <w:rtl w:val="0"/>
        </w:rPr>
        <w:t xml:space="preserve">1. pielikuma</w:t>
      </w:r>
      <w:r w:rsidR="00000000" w:rsidRPr="00000000" w:rsidDel="00000000">
        <w:rPr>
          <w:sz w:val="24"/>
          <w:rtl w:val="0"/>
        </w:rPr>
        <w:t xml:space="preserve"> 4. punktā noteiktos rādītājus, un saskaņā ar šo noteikumu </w:t>
      </w:r>
      <w:r w:rsidR="00000000" w:rsidRPr="00000000" w:rsidDel="00000000">
        <w:rPr>
          <w:sz w:val="24"/>
          <w:rtl w:val="0"/>
        </w:rPr>
        <w:t xml:space="preserve">59. punktu</w:t>
      </w:r>
      <w:r w:rsidR="00000000" w:rsidRPr="00000000" w:rsidDel="00000000">
        <w:rPr>
          <w:sz w:val="24"/>
          <w:rtl w:val="0"/>
        </w:rPr>
        <w:t xml:space="preserve"> </w:t>
      </w:r>
      <w:r w:rsidR="00000000" w:rsidRPr="00000000" w:rsidDel="00000000">
        <w:rPr>
          <w:color w:val="#ffffff"/>
          <w:sz w:val="24"/>
          <w:rtl w:val="0"/>
        </w:rPr>
        <w:t xml:space="preserve"> </w:t>
      </w:r>
      <w:r w:rsidR="00000000" w:rsidRPr="00000000" w:rsidDel="00000000">
        <w:rPr>
          <w:sz w:val="24"/>
          <w:rtl w:val="0"/>
        </w:rPr>
        <w:t xml:space="preserve">noteiktie papildu rādītāji tiek monitorēti vismaz vienu reizi sešos gados un tiek monitorēti gadījumos, kad jauna ūdens ieguves vieta tiek integrēta ūdensapgādes sistēmā vai maina ūdensapgādes sistēmu, kā rezultātā tiek sagaidīta iespējami negatīva ietekme uz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Paraugu ņemšanas metodes un paraugu ņemšanas punkti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w:t>
      </w:r>
      <w:r w:rsidR="00000000" w:rsidRPr="00000000" w:rsidDel="00000000">
        <w:rPr>
          <w:rtl w:val="0"/>
        </w:rPr>
        <w:t xml:space="preserve">Paraugu ņemšanas punktus nosaka atbilstoši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noteiktajām atbilstības vietām. Ja iespējams pierādīt, ka attiecīgo rādītāju mērītā vērtība nepasliktināsies, sadales tīklos paraugus attiecībā uz noteiktiem rādītājiem drīkst ņemt vai nu piegādes zonā, vai apstrādes iekārtās. Cik iespējams, nodrošina, lai paraugu skaits būtu vienmērīgi sadalīts laikā un teritoriāli.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3.2. </w:t>
      </w:r>
      <w:r w:rsidR="00000000" w:rsidRPr="00000000" w:rsidDel="00000000">
        <w:rPr>
          <w:rtl w:val="0"/>
        </w:rPr>
        <w:t xml:space="preserve">Paraugu ņemšanas atbilstības vieta 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3.2.1.</w:t>
      </w:r>
      <w:r w:rsidR="00000000" w:rsidRPr="00000000" w:rsidDel="00000000">
        <w:rPr>
          <w:rtl w:val="0"/>
        </w:rPr>
        <w:t xml:space="preserve"> atbilstības paraugus attiecībā uz noteiktiem ķīmiskiem rādītājiem, it īpaši varu, svinu, un niķeli, ņem no krāna tajā vietā, kur dzeramo ūdeni lieto patērētājs bez iepriekšējas notecināšanas. Nejaušā darbdienas laikā ņem paraugu, kura tilpums ir viens litrs. Parauga ņēmējs var arī izmantot noteikta fiksēta netecēšanas laika metodes, kas labāk atbilst to situācijai, piemēram, patērētāju vidējo nedēļas devu, ar noteikumu, ka tas nerada mazāku neatbilstību skaitu piegādes zonas līmenī, kā lietojot nejauša darbdienas laika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3.2.2. </w:t>
      </w:r>
      <w:r w:rsidR="00000000" w:rsidRPr="00000000" w:rsidDel="00000000">
        <w:rPr>
          <w:rtl w:val="0"/>
        </w:rPr>
        <w:t xml:space="preserve">mikrobioloģisko rādītāju atbilstības paraugus atbilstības vietā ņem un apstrādā saskaņā ar LVS EN ISO 19458, paraugu ņemšanas nolūks B.</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3.3. </w:t>
      </w:r>
      <w:r w:rsidR="00000000" w:rsidRPr="00000000" w:rsidDel="00000000">
        <w:rPr>
          <w:rtl w:val="0"/>
        </w:rPr>
        <w:t xml:space="preserve">Paraugus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 </w:t>
      </w:r>
      <w:r w:rsidR="00000000" w:rsidRPr="00000000" w:rsidDel="00000000">
        <w:rPr>
          <w:rtl w:val="0"/>
        </w:rPr>
        <w:t xml:space="preserve">analīzēm ūdensapgādes inženiertīklā ņem vietās, kur ir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w:t>
      </w:r>
      <w:r w:rsidR="00000000" w:rsidRPr="00000000" w:rsidDel="00000000">
        <w:rPr>
          <w:rtl w:val="0"/>
        </w:rPr>
        <w:t xml:space="preserve"> izplatīšanās risks un kur ir sistēmiska pakļautība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 </w:t>
      </w:r>
      <w:r w:rsidR="00000000" w:rsidRPr="00000000" w:rsidDel="00000000">
        <w:rPr>
          <w:rtl w:val="0"/>
        </w:rPr>
        <w:t xml:space="preserve">iedarbībai.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3.4. </w:t>
      </w:r>
      <w:r w:rsidR="00000000" w:rsidRPr="00000000" w:rsidDel="00000000">
        <w:rPr>
          <w:rtl w:val="0"/>
        </w:rPr>
        <w:t xml:space="preserve">Paraugu ņemšanai sadales tīklā, izņemot paraugu ņemšanu no krāna tajā vietā, kur dzeramo ūdeni lieto patērētājs, ievēro LVS ISO 5667-5: ''Ūdens kvalitāte. Paraugu ņemšana. 5. daļa: Norādījumi dzeramā ūdens paraugu ņemšanai no sagatavošanas iekārtām un cauruļvadu sadales sistēmām''. Attiecībā uz mikrobioloģiskiem rādītājiem paraugus sadales tīklā ņem un ar tiem rīkojas saskaņā ar LVS EN ISO 19458 (paraugu ņemšanas nolūks 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noteikumu_projekts_p2_22-TA-2538.docx</dc:title>
</cp:coreProperties>
</file>

<file path=docProps/custom.xml><?xml version="1.0" encoding="utf-8"?>
<Properties xmlns="http://schemas.openxmlformats.org/officeDocument/2006/custom-properties" xmlns:vt="http://schemas.openxmlformats.org/officeDocument/2006/docPropsVTypes"/>
</file>