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februārī (prot. Nr. 5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 (Latvijas Vēstnesis, 2025, 131.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Finansējuma saņēmējs uzkrāj datus par faktiski sasniegto šo noteikumu 7. punktā minēto rādītāju."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25-TA-1942</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25-TA-1942</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noteikumu_(grozījumu)_projekts_25-TA-1942.docx</dc:title>
</cp:coreProperties>
</file>

<file path=docProps/custom.xml><?xml version="1.0" encoding="utf-8"?>
<Properties xmlns="http://schemas.openxmlformats.org/officeDocument/2006/custom-properties" xmlns:vt="http://schemas.openxmlformats.org/officeDocument/2006/docPropsVTypes"/>
</file>