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komercsabiedrības deklarē savu atbilstību mazās (sīkās) un vidējās komercsabiedrības statusam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Komercdarbības atbalsta kontroles likuma</w:t>
      </w:r>
      <w:r>
        <w:br/>
      </w:r>
      <w:r w:rsidR="00000000" w:rsidRPr="00000000" w:rsidDel="00000000">
        <w:rPr>
          <w:rStyle w:val="paragraph"/>
          <w:i w:val="1"/>
          <w:rtl w:val="0"/>
        </w:rPr>
        <w:t xml:space="preserve">12.panta 4.punktu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komercsabiedrība deklarē savu atbilstību mazās (sīkās) un vidējās komercsabiedrības statusam.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Komercsabiedrība deklarē atbilstību mazās (sīkās) vai vidējās komercsabiedrības statusam atbilstoši atbalsta sniedzēja izraudzītajam informācijas sniegšanas veidam, pamatojoties uz pēdējo divu noslēgto gadu gada pārskatu datiem vai komercsabiedrības konsolidētajiem gada pārskatiem (ja attiecināms), kurā par katru no šiem gadiem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bilances kopsummu;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pretendentam ir saistītie uzņēmumi vai partneruzņēmumi, – šo uzņēmumu neto apgrozījumu, bilances kopsummu un darbinieku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nosacījumus, apstākļus un dokumentus, kas pamato atbalsta pretendenta un saistīto uzņēmumu vai partneruzņēmumu saikni;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pēdējā gada laikā ir mainījies mazās (sīkās) vai vidējās komercsabiedrības statuss, informāciju, kas minēta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sniedz par diviem vai attiecīgi trim gadiem, lai pamatotu atbilstību noteiktajam statusam;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sniegtā informācija ir patiesa.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informāciju sniedz, ņemot vērā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I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komercsabiedrība nav uzskatāma par mazo (sīko) vai vidējo komercsabiedrību, ja atbilstoši Komisijas regulas Nr.  </w:t>
      </w:r>
      <w:r w:rsidR="00000000" w:rsidRPr="00000000" w:rsidDel="00000000">
        <w:rPr>
          <w:rtl w:val="0"/>
        </w:rPr>
        <w:t xml:space="preserve">651/2014</w:t>
      </w:r>
      <w:r w:rsidR="00000000" w:rsidRPr="00000000" w:rsidDel="00000000">
        <w:rPr>
          <w:rtl w:val="0"/>
        </w:rPr>
        <w:t xml:space="preserve"> I pielikuma 3. panta 4. punktam 25 % vai vairāk no komercsabiedrības kapitāla daļām vai balsstiesībām kopā vai atsevišķi tieši vai netieši kontrolē viena vai vairākas publiskas personas.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25-TA-1308</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25-TA-1308</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noteikumu_konsolidētā_versija_25-TA-1308.docx</dc:title>
</cp:coreProperties>
</file>

<file path=docProps/custom.xml><?xml version="1.0" encoding="utf-8"?>
<Properties xmlns="http://schemas.openxmlformats.org/officeDocument/2006/custom-properties" xmlns:vt="http://schemas.openxmlformats.org/officeDocument/2006/docPropsVTypes"/>
</file>