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Finansējums pasākuma pirmās kārtas ietvaros paredzēts biedrībām, kas pārstāv šādu nozaru komersantus: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Apstrādes rūpniecība (saskaņā ar NACE 2.1. red. C sadaļu) un šādas apstrādes rūpniecības apakšnozares: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kokrūpniecība;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mašīnbūve un metālapstrāde;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elektrisko un optisko iekārtu ražošana;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ķīmiskā 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pārtikas un dzērienu ražošana;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būvindustrija;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vieglā 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papīra ražošana un poligrāfija.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Informācijas un komunikācijas tehnoloģiju nozare (ierobežojumus nosaka saskaņā ar NACE 2.1. red. K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Izmitināšanas un ēdināšanas pakalpojumi (ierobežojumus nosaka saskaņā ar NACE 2.1. red. I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Finanšu un apdrošināšanas darbības (ierobežojumus nosaka saskaņā ar NACE 2.1. red. L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Profesionālie, zinātniskie un tehniskie pakalpojumi (ierobežojumus nosaka saskaņā ar NACE 2.1. red. N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Administratīvo un apkalpojošo dienestu darbība (ierobežojumus nosaka saskaņā ar NACE 2.1. red. O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Energoapgāde un telekomunikācija (ierobežojumus nosaka saskaņā ar NACE 2.1. red. D un K sadaļu).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