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21.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8. panta piecpadsmitās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u w:val="single"/>
          <w:rtl w:val="0"/>
        </w:rPr>
        <w:t xml:space="preserve">1. piemērs.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SIA "A" ir noslēdzis darba koplīgumu, un koplīgumā paredzēts, ka darba devējs sedz šādus darbinieka izdevumus (atkarībā no konkrētā darbinieka vajadzībām):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- darbinieka ēdināšanas izdevumus – par pārtikas produktu un atspirdzinošo dzērienu iegādi un ēdienreizēm dienās, kad darbinieks ir ieradies darbavietā (t. i., darbinieks strādā uzņēmumā uz vietas un neveic darbu attālināti);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ārstniecības izdevumus;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izdevumus, kas saistīti ar darbinieka pārcelšanos uz citu dzīvesvietu – transporta izdevumus un izdevumus par darbinieka īpašumā esošās iedzīves pārvešanu, ja darbinieka pārcelšanās uz citu dzīvesvietu ir saistīta ar darba pienākumu veikšanu;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izmitināšanas izdevumus – viesnīcas, naktsmītnes un dzīvokļa īres izdevumus, ja darbinieku nepieciešams izmitināt saistībā ar darba pienākumu veikšanu;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transporta izdevumus – sabiedriskā transporta biļetes un degvielas izdevumus, lai darbinieks nokļūtu no dzīvesvietas uz darbu un no darba uz dzīvesvietu.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ieņēmumu dienestā iesniegtajā gada pārskatā par 2024. gadu norādītais vidējais darbinieku skaits – 10 darbinieki.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algu fonds 2025. gadam – 400 000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izpilda likumā noteiktos nosacījumus attiecībā uz likuma 8. panta piecpadsmitās daļas piemērošanu.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ir apmaksājis šādus darbinieku izdevumus: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63"/>
        <w:gridCol w:w="3063"/>
        <w:gridCol w:w="3063"/>
        <w:gridCol w:w="3063"/>
        <w:gridCol w:w="3063"/>
        <w:gridCol w:w="3063"/>
        <w:gridCol w:w="3063"/>
        <w:tblGridChange w:id="0">
          <w:tblGrid>
            <w:gridCol w:w="3063"/>
            <w:gridCol w:w="3063"/>
            <w:gridCol w:w="3063"/>
            <w:gridCol w:w="3063"/>
            <w:gridCol w:w="3063"/>
            <w:gridCol w:w="3063"/>
            <w:gridCol w:w="306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Darbinieks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Darbinieku izdevumi, ko apmaksājis darba devējs (euro)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Kopā (euro)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ēdināšanas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ārstniecības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pārcelšanās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izmitināšanas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transporta izdevumi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Jānis Bērziņš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Līga Ābelīte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Anna Ozoliņa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Pēteris Liepa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Artūrs Priede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Jana Saule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Kārlis Ozols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Marija Apine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Māra Puķīte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Krista Zālīte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Izdevumi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5618,00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atvieglojuma kopējais apmērs, ko darba devējs var piemērot 2025. gadā: 10 x 700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= 7000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2025. gadā piemērotā iedzīvotāju ienākuma nodokļa atvieglojuma kopējais apmērs: 5618,00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u w:val="single"/>
          <w:rtl w:val="0"/>
        </w:rPr>
        <w:t xml:space="preserve">2. piemērs.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SIA "B" ir noslēdzis darba koplīgumu, un koplīgumā paredzētie darba devēja segtie darbinieka izdevumi ir analogi 1. piemērā norādītajiem.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ieņēmumu dienestā iesniegtajā gada pārskatā par 2024. gadu norādītais vidējais darbinieku skaits – 16 darbinieki.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atvieglojuma kopējais apmērs, ko darba devējs var piemērot 2025. gadā, pamatojoties uz 2024. gada pārskatā norādīto vidējo darbinieku skaitu, ir 16 x 700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= 11 200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2025. gadā ir apmaksājis šādus darbinieku izdevumus: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150"/>
        <w:gridCol w:w="3150"/>
        <w:gridCol w:w="3150"/>
        <w:gridCol w:w="3150"/>
        <w:gridCol w:w="3150"/>
        <w:gridCol w:w="2913"/>
        <w:tblGridChange w:id="0">
          <w:tblGrid>
            <w:gridCol w:w="3127"/>
            <w:gridCol w:w="3150"/>
            <w:gridCol w:w="3150"/>
            <w:gridCol w:w="3150"/>
            <w:gridCol w:w="3150"/>
            <w:gridCol w:w="3150"/>
            <w:gridCol w:w="29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Darbinieks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i w:val="1"/>
                <w:rtl w:val="0"/>
              </w:rPr>
              <w:t xml:space="preserve">Darbinieku izdevumi, ko apmaksājis darba devējs (euro)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Kopā (euro)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ēdināšanas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ārstniecības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pārcelšanās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izmitināšanas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transporta izdevumi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Igo Bura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Zane Ose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Ivo Celms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Juris Kalns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Vaira Caune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Agnis Lausks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Vita Pole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Sanita Oga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Izdevumi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7650,00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2025. gadā visiem darbiniekiem piemērotā iedzīvotāju ienākuma nodokļa atvieglojuma kopējais apmērs: 7650,00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2025. gada beigās darba devējs konstatē, ka darba algu fonds 2025. gadam, kad uzņēmumā bija nodarbināti vairs tikai 8 darbinieki, – 144 000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5 % no tā ir 7200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konstatē, ka nav izpildīti likumā noteiktie nosacījumi attiecībā uz likuma 8. panta piecpadsmitās daļas noteikto ierobežojošo summu piemērošanu.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2025. gada decembrī pārsnieguma summu 450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(7650 – 7200) iekļauj decembra uzņēmumu ienākuma nodokļa deklarācijā kā ar saimniecisko darbību nesaistītos izdevumus un piemēro uzņēmumu ienākuma nodokli."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