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r>
        <w:br/>
      </w:r>
      <w:r w:rsidR="00000000" w:rsidRPr="00000000" w:rsidDel="00000000">
        <w:rPr>
          <w:rStyle w:val="paragraph"/>
          <w:i w:val="1"/>
          <w:rtl w:val="0"/>
        </w:rPr>
        <w:t xml:space="preserve">Eiropas Savienības struktūrfondu un Kohēzijas fonda 2014.–2020. gada plānošanas perioda vadības likuma 20. panta</w:t>
      </w:r>
      <w:r w:rsidR="00000000" w:rsidRPr="00000000" w:rsidDel="00000000">
        <w:rPr>
          <w:rStyle w:val="paragraph"/>
          <w:i w:val="1"/>
          <w:rtl w:val="0"/>
        </w:rPr>
        <w:t xml:space="preserve"> 14. punktu un </w:t>
      </w:r>
      <w:r>
        <w:br/>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16. jūnija noteikumos Nr. 383 "Noteikumi par garantijām saimnieciskās darbības veicējiem konkurētspējas uzlabošanai" (Latvijas Vēstnesis, 2020, 119., 248. nr.; 2022, 121. nr.; 2023, 49., 173. nr.; 2024, 110. nr.; 2025, 155. nr.; 2026,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1.2.3.4. pasākuma ietvaros garantija pieejama sīkajiem (mikro), mazajiem un vidējiem maziem vidējās kapitalizācijas un vidējās kapitalizācijas saimnieciskās darbības veicējiem."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kuriem saņemts Aizsardzības ministrijas atzinums par militārā projekta atbilstību būtiskām valsts drošības interesēm un kuri saistīti ar tādu ieroču, munīcijas un militārā aprīkojuma ražošanu, kas atbilst Eiropas Savienības Kopējam militāro preču sarakstam, nav kvalificējamas kā komercdarbības atbalsts, un tām nepiemēro šajos noteikumos ietvertos Komisijas regulas Nr. 2023/2831 vai Komisijas regulas Nr. 651/2014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sabiedrībā "Altum" projekta pieteikumu atbalsta saņemšanai militāriem projektiem, tam pievieno Aizsardzības ministrijas atzinumu par militārā projekta atbilstību būtiskām valsts drošības interesēm, kas saistītas ar ieroču, munīcijas un militārā aprīkojuma ražošanu. Sabiedrība "Altum" garantijas pieteikumu vērtē kopā ar saņemto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Šo noteikumu 5.</w:t>
      </w:r>
      <w:r w:rsidR="00000000" w:rsidRPr="00000000" w:rsidDel="00000000">
        <w:rPr>
          <w:vertAlign w:val="superscript"/>
          <w:rtl w:val="0"/>
        </w:rPr>
        <w:t xml:space="preserve">4</w:t>
      </w:r>
      <w:r w:rsidR="00000000" w:rsidRPr="00000000" w:rsidDel="00000000">
        <w:rPr>
          <w:rtl w:val="0"/>
        </w:rPr>
        <w:t xml:space="preserve"> punktā minētā atzinuma sniegšanai, militāru projektu izvērtēšanai, lēmuma pieņemšanai un sniegtā atbalsta uzraudzībai Aizsardzības ministrija, sabiedrība "Altum" un Ekonomikas ministrija slēdz vienošanos par datu apmaiņu par saimnieciskās darbības veicēju un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Atbalsta saņēmējs pamato un projekta īstenošanas laikā, kā arī visā projekta ieguldījumu lietderīgās lietošanas laikā atbilstoši normatīvajiem aktiem grāmatvedības jomā nodrošina, ka projekts, kam piešķirts finansējums saskaņā ar šo noteikumu 5.</w:t>
      </w:r>
      <w:r w:rsidR="00000000" w:rsidRPr="00000000" w:rsidDel="00000000">
        <w:rPr>
          <w:vertAlign w:val="superscript"/>
          <w:rtl w:val="0"/>
        </w:rPr>
        <w:t xml:space="preserve">1</w:t>
      </w:r>
      <w:r w:rsidR="00000000" w:rsidRPr="00000000" w:rsidDel="00000000">
        <w:rPr>
          <w:rtl w:val="0"/>
        </w:rPr>
        <w:t xml:space="preserve"> punktu, atbilst ar komercdarbības atbalstu nesaistītam militāram projektam. Atbalsta saņēmējs neuzsāk darbības, kurām sniegtais atbalsts būtu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Atbalsta saņēmējs, kam piešķirts finansējums saskaņā ar šo noteikumu 5.</w:t>
      </w:r>
      <w:r w:rsidR="00000000" w:rsidRPr="00000000" w:rsidDel="00000000">
        <w:rPr>
          <w:vertAlign w:val="superscript"/>
          <w:rtl w:val="0"/>
        </w:rPr>
        <w:t xml:space="preserve">1</w:t>
      </w:r>
      <w:r w:rsidR="00000000" w:rsidRPr="00000000" w:rsidDel="00000000">
        <w:rPr>
          <w:rtl w:val="0"/>
        </w:rPr>
        <w:t xml:space="preserve"> punktu, projekta ieguldījumu lietderīgās lietošanas laikā atbilstoši normatīvajiem aktiem grāmatvedības jomā nodrošina darbību un izmaksu nošķiršanu, lai no saņemtā atbalsta labumu gūst tikai militārais projekts. Ja atbalsta saņēmējs, kam piešķirts finansējums saskaņā ar šo noteikumu 5.</w:t>
      </w:r>
      <w:r w:rsidR="00000000" w:rsidRPr="00000000" w:rsidDel="00000000">
        <w:rPr>
          <w:vertAlign w:val="superscript"/>
          <w:rtl w:val="0"/>
        </w:rPr>
        <w:t xml:space="preserve">1</w:t>
      </w:r>
      <w:r w:rsidR="00000000" w:rsidRPr="00000000" w:rsidDel="00000000">
        <w:rPr>
          <w:rtl w:val="0"/>
        </w:rPr>
        <w:t xml:space="preserve"> punktu, projekta ieguldījumu lietderīgās lietošanas laikā, izmantojot garantiju līdzfinansētā investīciju projekta ietvaros iegādātos vai izveidotos materiālos vai nemateriālos aktīvus, uzsāk darbības, kurām sniegtais atbalsts atbilstoši normatīvajiem aktiem grāmatvedības jomā kvalificējams kā komercdarbības atbalsts, saņemtais atbalsts kvalificējams kā nelikumīgs komercdarbības atbalsts, kurš saskaņā ar Komercdarbības atbalsta kontroles likuma IV vai V nodaļu jāatmaksā sabiedrībai "Altum" no komersanta finansējuma, par ko nav saņemts nekāds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8</w:t>
      </w:r>
      <w:r w:rsidR="00000000" w:rsidRPr="00000000" w:rsidDel="00000000">
        <w:rPr>
          <w:rtl w:val="0"/>
        </w:rPr>
        <w:t xml:space="preserve"> Sabiedrība "Altum" nodrošina atbalstītā militārā projekta uzraudzību militārā projekta ietvaros izgatavoto vai iegādāto pamatlīdzekļu lietderīgās lietošanas laikā. Sabiedrībai "Altum" ir tiesības veikt pārbaudes par šo noteikumu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punktā minēto prasību izpildi militārā projekta ietvaros izgatavoto vai iegādāto pamatlīdzekļu lietderīgās lietošanas laikā arī tad, ja lietderīgās lietošanas laiks pārsniedz projekta īstenošanas ilgumu vai projekta pēcuzraudzības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tas sniedz finanšu pakalpojumus attiecīgajā jomā ne mazāk kā trīs gadus, tai skaitā saistīto personu ietvaros, ja mātes uzņēmumi darbojas tajā pašā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darbības programmas "Uzņēmējdarbība un inovācijas" 2.2.1.4.1. apakšaktivitātes "Atbalsts aizdevumu veidā komersantu konkurētspējas uzlabošanai" ietvaros atmaksātais publiskais finansējums – 1 700 000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3.1.3. aktivitātes "Apmācības un konsultācijas komercdarbības un pašnodarbinātības uzsācējiem" un 2.2.1.4.1. apakšaktivitātes "Atbalsts aizdevumu veidā komersantu konkurētspējas uzlabošanai" ietvaros atmaksātais publiskais finansējums – 935 586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starta un mikroaizdevumu programmas un 2.2.1.4.1. apakšaktivitātes "Atbalsts aizdevumu veidā komersantu konkurētspējas uzlabošanai" ietvaros atmaksātais publiskais finansējums – līdz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14 500 000 </w:t>
      </w:r>
      <w:r w:rsidR="00000000" w:rsidRPr="00000000" w:rsidDel="00000000">
        <w:rPr>
          <w:i w:val="1"/>
          <w:rtl w:val="0"/>
        </w:rPr>
        <w:t xml:space="preserve">euro</w:t>
      </w:r>
      <w:r w:rsidR="00000000" w:rsidRPr="00000000" w:rsidDel="00000000">
        <w:rPr>
          <w:rtl w:val="0"/>
        </w:rPr>
        <w:t xml:space="preserve"> no šo noteikumu 7.1. un 7.9. un apakšpunktā minētā atmaksātā Eiropas Savienības struktūrfondu un Kohēzijas fonda 2014.–2020. gada plānošanas perioda ERAF atmaksātā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līdz 2 000 000 </w:t>
      </w:r>
      <w:r w:rsidR="00000000" w:rsidRPr="00000000" w:rsidDel="00000000">
        <w:rPr>
          <w:i w:val="1"/>
          <w:rtl w:val="0"/>
        </w:rPr>
        <w:t xml:space="preserve">euro</w:t>
      </w:r>
      <w:r w:rsidR="00000000" w:rsidRPr="00000000" w:rsidDel="00000000">
        <w:rPr>
          <w:rtl w:val="0"/>
        </w:rPr>
        <w:t xml:space="preserve"> no atmaksātā publiskā finansējuma saskaņā ar Ministru kabineta 2020. gada 19. marta noteikumiem Nr. 149 "Noteikumi par apgrozāmo līdzekļu aizdevumiem saimnieciskās darbības veicējiem, kuru darbību ietekmējusi Covid-19 izplatība";".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līdz 2 500 000 </w:t>
      </w:r>
      <w:r w:rsidR="00000000" w:rsidRPr="00000000" w:rsidDel="00000000">
        <w:rPr>
          <w:i w:val="1"/>
          <w:rtl w:val="0"/>
        </w:rPr>
        <w:t xml:space="preserve">euro </w:t>
      </w:r>
      <w:r w:rsidR="00000000" w:rsidRPr="00000000" w:rsidDel="00000000">
        <w:rPr>
          <w:rtl w:val="0"/>
        </w:rPr>
        <w:t xml:space="preserve">no šo noteikumu 7.10. apakšpunktā minētā atmaksātā Eiropas Savienības struktūrfondu un Kohēzijas fonda 2021.–2027. gada plānošanas perioda ERAF atmaksātā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Garantijas par šo noteikumu 8.4. un 8.5. apakšpunktā minēto finanšu pakalpojumu netiek sniegtas 1.2.3.4. pasākuma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5. nemateriālie aktīvi atbilst Komisijas regulas Nr. 651/2014 14. panta 8. punktā minētajiem nosacījumiem. Lielajiem saimnieciskās darbības veicējiem nemateriālos aktīvus var finansēt līdz 50 % no sākotnējo ieguldījumu kopējām attiecināmajām ieguldījumu izmaksām. Sīkajiem (mikro), mazajiem vai vidējiem saimnieciskās darbības veicējiem nemateriālos aktīvus var finansēt 100 %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9. saimnieciskās darbības veicējs, piesakoties atbalstam, iesniedz parakstītu apliecinājumu, ka tas nav veicis un neveiks Komisijas regulas Nr. 651/2014 14. panta 16. punktā norādītās darbības, kuras definētas Komisijas regulas Nr. 651/2014 2. panta 61.a punktā, – ja atbalstu sniedz kā reģionālo atbalstu saskaņā ar Komisijas regulas Nr. 651/2014 14.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11. saimnieciskās darbības veicējs, tai skaitā vērtējot saistīto personu līmenī, nav uzskatāms par grūtībās nonākušu uzņēmumu saskaņā ar Komisijas regulas Nr. 651/2014 2. panta 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"16.11. projektiem, kas ir fiziski pabeigti vai pilnībā īstenoti, izņemot gadījumu, ja tiek pagarināts sabiedrības "Altum" iepriekš izsniegtās garantijas termiņš vai refinansēts sabiedrības "Altum" aizdevums vai cits finanšu instruments, tostarp jebkāds ieguldījums, kas ticis veikts ar sabiedrības "Altum" atbalsta programmas finansējumu vai līdzfinansējumu, ievērojot visas piemērojamās komercdarbības atbalsta regulējuma normas."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ja tam ar tiesas spriedumu ir pasludināts maksātnespējas process, ir ierosināts vai tiek īstenots tiesiskās aizsardzības process vai ja saimnieciskās darbības veicējs ir iesniedzis apliecinājumu, ka tas atbilst normatīvajos aktos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Subsīdijas ekvivalentu sīkajam (mikro), mazajam un vidējam saimnieciskās darbības veicējam aprēķina atbilstoši Komisijas regulas Nr. 2023/2831 vai Komisijas regulas Nr. 651/2014 nosacījumiem kā starpību starp atbilstošās kredīta kvalitātes klases gada drošās zonas prēmijas likmi (pielikums) un piemēroto gada prēmijas likmi naudas izteiksmē vai piemērojot Komisijas regulas Nr. 2023/2831 4. panta 6. punkta "b" apakšpunkta nosacījumus. Ja garantijas ilgums pārsniedz gadu, starpība starp likmēm tiek diskontēta, izmantojot atsauces likmi, kas aprēķināma saskaņā ar Eiropas Komisijas Latvijai apstiprināto atsauces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Subsīdijas ekvivalentu lielajam saimnieciskās darbības veicējam un mazai vidējās kapitalizācijas un vidējās kapitalizācijas sabiedrībai aprēķina, piemērojot Komisijas regulas Nr. 2023/2831 4. panta 6. punkta "b" apakšpunkta nosacījumus vai izmantojot metodiku, kas saskaņota ar Eiropas Komisiju atbilstoši Komisijas regulas Nr. 2023/2831 4. panta 6. punkta "d" apakšpunkta "i" punktam, ja atbalsts tiek sniegts kā </w:t>
      </w:r>
      <w:r w:rsidR="00000000" w:rsidRPr="00000000" w:rsidDel="00000000">
        <w:rPr>
          <w:i w:val="1"/>
          <w:rtl w:val="0"/>
        </w:rPr>
        <w:t xml:space="preserve">de minimis</w:t>
      </w:r>
      <w:r w:rsidR="00000000" w:rsidRPr="00000000" w:rsidDel="00000000">
        <w:rPr>
          <w:rtl w:val="0"/>
        </w:rPr>
        <w:t xml:space="preserve"> atbalsts. Ja atbalsts tiek sniegts lielajam saimnieciskās darbības veicējam un mazai vidējās kapitalizācijas un vidējās kapitalizācijas sabiedrībai saskaņā ar Komisijas regulu Nr. 651/2014, subsīdijas ekvivalentu aprēķina, izmantojot metodiku, kas saskaņota ar Eiropas Komisiju atbilstoši Komisijas regulas Nr. 651/2014 5. panta 2. punkta "c" apakšpunkta "i"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 var apvienot ar šīs vai citas atbalsta programmas vai </w:t>
      </w:r>
      <w:r w:rsidR="00000000" w:rsidRPr="00000000" w:rsidDel="00000000">
        <w:rPr>
          <w:i w:val="1"/>
          <w:rtl w:val="0"/>
        </w:rPr>
        <w:t xml:space="preserve">ad-hoc </w:t>
      </w:r>
      <w:r w:rsidR="00000000" w:rsidRPr="00000000" w:rsidDel="00000000">
        <w:rPr>
          <w:rtl w:val="0"/>
        </w:rPr>
        <w:t xml:space="preserve">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finansējumu nepārsniedz maksimāli pieļaujamo reģionālā finansējuma intensitāti, kas noteikta šo noteikumu 12.</w:t>
      </w:r>
      <w:r w:rsidR="00000000" w:rsidRPr="00000000" w:rsidDel="00000000">
        <w:rPr>
          <w:vertAlign w:val="superscript"/>
          <w:rtl w:val="0"/>
        </w:rPr>
        <w:t xml:space="preserve">2</w:t>
      </w:r>
      <w:r w:rsidR="00000000" w:rsidRPr="00000000" w:rsidDel="00000000">
        <w:rPr>
          <w:rtl w:val="0"/>
        </w:rPr>
        <w:t xml:space="preserve">,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Pārvaldības izdevumi par garantijām, kuras izsniegtas saskaņā ar šo noteikumu 7.2., 7.3., 7.4., 7.5., 7.6., 7.7., 7.8., 7.11., 7.12., 7.13., 7.14. un 7.15. apakšpunktu, tiek iekļauti klientu maksājumos, tas ir, prēmijās un komisijas maksās."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Sabiedrības "Altum" 3.1.1.1. pasākumā sagaidāmie zaudējumi, kas noteikti saskaņā ar Attīstības finanšu institūcijas likuma 12. panta trešo daļu, tiek finansēti no šo noteikumu 7.1. apakšpunktā minētā finansējuma, 1.2.3.4 pasākumā sagaidāmie zaudējumi – no šo noteikumu 7.10. apakšpunktā minētā finansējuma, bet sagaidāmie zaudējumi par pārējām saimnieciskās darbības veicēju garantijām – no šo noteikumu 7.2., 7.3., 7.4., 7.5., 7.6., 7.7., 7.8., 7.11., 7.12., 7.13., 7.14. un 7.15. apakšpunktā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Garantijas saskaņā ar Komisijas regulas Nr. 651/2014 5. panta 2. punkta "c" apakšpunkta "ii" punktu un Komisijas regulas Nr. 2023/2831 4. panta 6. punkta "d" apakšpunkta "i" punktu piešķir no brīža, kad Eiropas Komisija ir saskaņojusi šo noteikumu 21. punktā minēto metodiku atbilstoši Komisijas regulas Nr. 2023/2831 4. panta 6. punkta "d" apakšpunkta "i" punktam vai Komisijas regulas Nr. 651/2014 5. panta 2. punkta "c" apakšpunkta "ii"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26-TA-1256</w:t>
    </w:r>
    <w:r>
      <w:br/>
    </w:r>
    <w:r w:rsidR="00000000" w:rsidRPr="00000000" w:rsidDel="00000000">
      <w:rPr>
        <w:rtl w:val="0"/>
      </w:rPr>
      <w:t xml:space="preserve">Izdrukāts 15.09.2026. 16.13 - 1.0.VK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26-TA-1256</w:t>
    </w:r>
    <w:r>
      <w:br/>
    </w:r>
    <w:r w:rsidR="00000000" w:rsidRPr="00000000" w:rsidDel="00000000">
      <w:rPr>
        <w:rtl w:val="0"/>
      </w:rPr>
      <w:t xml:space="preserve">Izdrukāts 15.09.2026. 16.13 - 1.0.VK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noteikumu_(grozījumu)_projekts_26-TA-1256.docx</dc:title>
</cp:coreProperties>
</file>

<file path=docProps/custom.xml><?xml version="1.0" encoding="utf-8"?>
<Properties xmlns="http://schemas.openxmlformats.org/officeDocument/2006/custom-properties" xmlns:vt="http://schemas.openxmlformats.org/officeDocument/2006/docPropsVTypes"/>
</file>