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 jūlijā (prot. Nr. 26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6.1.1.1. pasākumu "Atteikšanās no kūdras izmantošanas enerģētikā" (turpmāk – pasākums) trešo projektu iesniegumu atlases kārtu (turpmāk – pasākuma trešā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trešajai 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komercdarbības atbalsta piešķiršanas nosacījumus;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atlases kārtas mērķis ir mazināt vēsturiski radīto kaitējumu dabas resursiem pamestajās kūdras ieguves vietās, atjaunojot purvu un ar to saistīto ekosistēmu funkcionalitāti, nodrošinot šo dabisko vai daļēji dabisko ekosistēmu noturību, stāvokļa uzlabošanos un kvalitāti, aizsargājot un palielinot bioloģisko daudzveidību tajās, vienlaikus mazinot klimata pārmaiņu radītās sekas, izmantojot dabā balstītus risinājumus, nodrošinot pilnvērtīgu teritoriju turpmāku izmantošanu un sekmējot šo vietu iekļaušanos ainavā, kā arī nodrošinot cilvēku labbūtību.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trešās atlases kārtas mērķteritorijas un īstenošanas vietas ir Kūdras ilgtspējīgas izmantošanas pamatnostādņu 2020.–2030. gadam 3. pielikumā (turpmāk – pamatnostādņu 3. pielikums) minētās teritorijas un tām piegulošās teritorijas, kas atrodas Kurzemes, Latgales, Vidzemes un Zemgales statistiskajā reģionā saskaņā ar 2022. gada 25. novembrī spēkā esošo Statistiski teritoriālo vienību nomenklatūras 3. līmeņa (NUTS 3. līmenis) klasifikāciju, ir Latvijas Republikas īpašumā un nodoti turējumā akciju sabiedrībai "Latvijas valsts meži" vai atrodas akciju sabiedrības "Latvijas valsts meži" īpašumā vai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trešo atlases kārtu īsteno līdz 2029.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atbalstītā sanētās zemes platība. Iznākuma rādītāja vērtība tiek sasniegta, ja tiek veikti ieguldījumi Latvijas Republikas  īpašumā esošajās pamatnostādņu 3. pielikumā minētajās teritorijās vismaz 7 000 hektāru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aplēstās siltumnīcefekta gāzu emisijas. Rezultāta rādītāja vērtība tiek sasniegta un aprēķināta no projektā iekļautajām teritorijām, sasniedzot siltumnīcefekta gāzu emisiju samazinājumu vismaz –4 006 (ietaupījumu vismaz 57 345) oglekļa dioksīda ekvivalenta tonnu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radītājs – Latvijas Republikas valsts īpašumā esošo vēsturisko kūdras ieguves vietu izpēte un inventarizācija veikta teritorijās, kuru kopējā platība sasniedz vismaz 10 175 hektārus.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trešo atlases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trešās atlases kārtas īstenošanai plānotais un pieejamais kopējais attiecināmais finansējuma apmērs ir vismaz 35 300 000 </w:t>
      </w:r>
      <w:r w:rsidR="00000000" w:rsidRPr="00000000" w:rsidDel="00000000">
        <w:rPr>
          <w:i w:val="1"/>
          <w:rtl w:val="0"/>
        </w:rPr>
        <w:t xml:space="preserve">euro,</w:t>
      </w:r>
      <w:r w:rsidR="00000000" w:rsidRPr="00000000" w:rsidDel="00000000">
        <w:rPr>
          <w:rtl w:val="0"/>
        </w:rPr>
        <w:t xml:space="preserve"> tai skaitā Taisnīgas pārkārtošanās fonda finansējums – 30 005 000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nacionālais līdzfinansējums, ko veido privātais līdzfinansējums – vismaz  1 890 000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valsts budžeta līdzfinansējums, kas nepārsniedz 3 405 000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trešajā atlases kārtā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Taisnīgas pārkārtošanās fonda finansējuma apmērs nepārsniedz 85 procentus no projekta kopējā attiecināmā finansējuma, vienlaikus ievērojot šo noteikumu </w:t>
      </w:r>
      <w:r w:rsidR="00000000" w:rsidRPr="00000000" w:rsidDel="00000000">
        <w:rPr>
          <w:rtl w:val="0"/>
        </w:rPr>
        <w:t xml:space="preserve">42. </w:t>
      </w:r>
      <w:r w:rsidR="00000000" w:rsidRPr="00000000" w:rsidDel="00000000">
        <w:rPr>
          <w:rtl w:val="0"/>
        </w:rPr>
        <w:t xml:space="preserve">punkta</w:t>
      </w:r>
      <w:r w:rsidR="00000000" w:rsidRPr="00000000" w:rsidDel="00000000">
        <w:rPr>
          <w:rtl w:val="0"/>
        </w:rPr>
        <w:t xml:space="preserve"> nosacījumus. Valsts budžeta līdzfinansējums nepārsniedz 10 procentus no pasākuma atlases kārtas kopējām attiecināmajām izmaksām, privātais finansējums ir vismaz pieci procenti no pasākuma atlases kārtas kopējām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trešajā atlases kārtā neizmantoto Taisnīgas pārkārtošanās fonda finansējumu var novirzīt pasākuma nākamajām projektu iesniegumu atlases kārtām.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projekta iesnieguma apstiprināšanas kļūst par finansējuma saņēmēju, ir akciju sabiedrība "Latvijas valsts meži".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plāno projektā sasniedzamos uzraudzības rādītājus un Taisnīgas pārkārtošanās fonda finansējumu atbilstoši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rādītājiem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šo noteikumu izpratnē ir lielais komersants saskaņā ar Eiropas Komisijas 2014. gada 17. jūnija Regulas (ES) Nr.  651/2014, ar ko noteiktas atbalsta kategorijas atzīst par saderīgām ar iekšējo tirgu, piemērojot Līguma 107. un 108. pantu (turpmāk – regula Nr.  651/2014), I pielikuma kritērijiem un atbilstoši regulas 651/2014 2. panta 24.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ietvaros tiek sniegts atbalsts projekta iesniedzēja deleģēto valsts pārvaldes uzdevumu īstenošanai un saimnieciskajai darbībai, ņemot vērā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atbalstīta projekta iesniedzēja valsts pārvaldes uzdevumu īstenošana, kam sniegtais atbalsts nav kvalificējams kā komercdarbības atbalsts, īstenojot projekta darbības īpaši aizsargājamās dabas teritorijās un Eiropas Savienības nozīmes biotopā 7120 "Degradēti augstie purvi, kuros iespējama vai noris dabiskā atjaunošanās" un tām piegulošās teritorijās, kā arī veicot vēsturisko kūdras ieguves vietu inventarizāciju;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tiek piemērots komercdarbības atbalsta regulējums pārējām projekta īstenošanas darbībām pamatnostādņu 3. pielikumā norādītajās teritorijās, kas nav minētas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ko pievieno projekta iesniegumam, ievērojot,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ekonomiskā ienesīguma norma ir lielāka par sociālā diskonta likmi;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ekonomiskā neto pašreizējā vērtība ir lielāka par nulli;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dzīves cikls iekļauj projekta īstenošanas laiku un pēcuzraudzības periodu un ir vismaz 15 gadi;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vai projekta daļā, kurā netiek sniegts komercdarbības atbalsts, bet kurā tiek īstenoti valsts deleģētie pārvaldes uzdevumi, plānotie ieņēmumi ik gadu projekta dzīves ciklā nepārsniedz 50 procentus no infrastruktūras un atjaunoto teritoriju uzturēšanas izdevumiem.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iesniedz vairākus projekta iesniegumus, vienlaikus nodrošinot,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visi projekti kopā sasniedz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noteiktos uzraudzības rādītājus un nepārsniedz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Taisnīgas pārkārtošanās fonda finansējuma un valsts budžeta līdzfinansējuma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iesniedzot vienu vai vairākus projektu iesniegumus par teritorijām, kas minētas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projektu iesniegumu Taisnīgas pārkārtošanās fonda finansējuma kopējā summa nav lielāka par 15 000 000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Minimālās viena projekta kopējās attiecināmās izmaksas ir lielākas par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Viena projekta kopējās attiecināmās izmaksas nav lielākas par 30 000 000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projekta iesniegumu un iesniedz to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iesniegumā paredzētās darbības atbilst Taisnīgas pārkārtošanās teritoriālajā plānā noteiktajiem mērķiem un uzdevumiem.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trešās atlases kārtas ietvaros ir atbalstāmas darbības, lai izvērtētu un novērstu vēsturiski radīto kaitējumu dabas resursiem pamestajās kūdras ieguves vietās, atjaunojot purvu un ar to saistītās meža un ūdeņu dabiskās vai daļēji dabiskās ekosistēmas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minētajās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bioloģiskās daudzveidības vai ekosistēmu aizsardzības un atjaunošanas pasākumi, lai nodrošinātu ekosistēmu ekoloģisko kvalitāti un sasniegtu to labu stāvokli;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dabā balstīti risinājumi, kā arī zaļās un zilās infrastruktūras izveide, lai panāktu klimatadaptāciju un mazinātu klimata pārmaiņas;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atjaunojamo teritoriju apsekošana un izpēte, tostarp veicot augsnes un hidroķīmiskās analīzes un citas analīzes, kas nepieciešamas projekta mērķu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horizontālo principu "Nenodarīt būtisku kaitējumu", "Klimatdrošināšana" un "Vienlīdzība, iekļaušana, nediskriminācija un pamattiesību ievērošana"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trešās atlases kārtas ietvaros nav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meliorācijas sistēmu būvniecība un projektēšana, izņemot: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hidrotehnisku būvju izveidi šo noteikumu </w:t>
      </w:r>
      <w:r w:rsidR="00000000" w:rsidRPr="00000000" w:rsidDel="00000000">
        <w:rPr>
          <w:rtl w:val="0"/>
        </w:rPr>
        <w:t xml:space="preserve">24.3.2. </w:t>
      </w:r>
      <w:r w:rsidR="00000000" w:rsidRPr="00000000" w:rsidDel="00000000">
        <w:rPr>
          <w:rtl w:val="0"/>
        </w:rPr>
        <w:t xml:space="preserve">apakšpunktā</w:t>
      </w:r>
      <w:r w:rsidR="00000000" w:rsidRPr="00000000" w:rsidDel="00000000">
        <w:rPr>
          <w:rtl w:val="0"/>
        </w:rPr>
        <w:t xml:space="preserve"> minētajos gadījumos;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tas nepieciešams projekta mērķa teritorijai piegulošās teritorijas esošā mitruma līmeņa saglabāšanai, lai neradītu izmaiņas citu personu īpašumā esošajās teritorijās. Pirms tam nepieciešams saņemt hidrologa atzinumu, kas pamato ieguldījumu nepieciešamību. Šādos gadījumos nav atļauta hidrotehnisku būvju (dambju un aizsprostu) izveide;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caurteku izbūvi, ja tā nepieciešama jaunizveidotās vai atjaunotās infrastruktūras funkcionalitātes nodrošināšanai atbilstoši šo noteikumu </w:t>
      </w:r>
      <w:r w:rsidR="00000000" w:rsidRPr="00000000" w:rsidDel="00000000">
        <w:rPr>
          <w:rtl w:val="0"/>
        </w:rPr>
        <w:t xml:space="preserve">24.2.4.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meliorācijas grāvju savienojumu izbūvi, ja esošo meliorācijas grāvju pārtīrīšanu nav iespējams veikt sugu vai biotopu aizsardzības prasību dēļ un ūdens novadei nav alternatīvu risinājumu. Šādos gadījumos jāsaņem sertificēta sugu un biotopu eksperta atzinums, ka no jauna būvējamais meliorācijas grāvju savienojums negatīvi neietekmēs sugas un biotopus, kuru dēļ nav iespējams veikt meliorācijas grāvja pārtīrīšanu.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meliorācijas sistēmas atjaunošana īpaši aizsargājamās dabas teritorijās (izņemot gadījumu, ja to paredz īpaši aizsargājamās dabas teritorijas dabas aizsardzības plāns vai  sertificēta sugu un biotopu eksperta atzinums), mikroliegumos un Eiropas Savienības nozīmes biotopos (izņemot gadījumu, ja to paredz sertificēta sugu un biotopu eksperta atzinums);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minerālā un organiskā mēslojuma iegāde un izkliedēšana projekta īstenošanas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 ieaudzēšana īpaši aizsargājamās dabas teritorijās, mikroliegumos un īpaši aizsargājamos biotopos, kas noteikti saskaņā ar normatīvajiem aktiem par sugu un biotopu aizsardzību, kā arī Eiropas nozīmes aizsargājamās dabas teritorijās (</w:t>
      </w:r>
      <w:r w:rsidR="00000000" w:rsidRPr="00000000" w:rsidDel="00000000">
        <w:rPr>
          <w:i w:val="1"/>
          <w:rtl w:val="0"/>
        </w:rPr>
        <w:t xml:space="preserve">Natura 2000</w:t>
      </w:r>
      <w:r w:rsidR="00000000" w:rsidRPr="00000000" w:rsidDel="00000000">
        <w:rPr>
          <w:rtl w:val="0"/>
        </w:rPr>
        <w:t xml:space="preserve">) un Eiropas Savienības nozīmes biotopos (izņemot gadījumu, ja to paredz īpaši aizsargājamās dabas teritorijas aizsardzības un izmantošanas noteikumi vai dabas aizsardzības plāns, vai Eiropas Savienības nozīmes biotopu un mikroliegumu gadījumā – sertificēta sugu un biotopu eksperta atzinums);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koku audzēšana īscirtmeta atvasājos, ātraudzīgo koku audzēšana enerģijas ražošanai, kā arī tādu sugu audzēšana, kas nav vietējās sugas;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kokaugu sēklu un stādmateriāla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darbības, kas sekmē primāro lauksaimniecisko ražošanu;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mežsaimnieciskas darbības, kas nav saistītas ar šo noteikumu </w:t>
      </w:r>
      <w:r w:rsidR="00000000" w:rsidRPr="00000000" w:rsidDel="00000000">
        <w:rPr>
          <w:rtl w:val="0"/>
        </w:rPr>
        <w:t xml:space="preserve">21.1. </w:t>
      </w:r>
      <w:r w:rsidR="00000000" w:rsidRPr="00000000" w:rsidDel="00000000">
        <w:rPr>
          <w:rtl w:val="0"/>
        </w:rPr>
        <w:t xml:space="preserve">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darbību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trešās atlases kārtas ietvaros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un projekta īstenošanu pamatojošās dokumentācijas sagatavošanas izmaksas (izņemot projekta iesnieguma veidlapas aizpildīšanas izmaksas), kas tieši saistītas ar projektā plānotajām darbībām, nepārsniedzot 10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hidrologa, sertificēta sugu un biotopu aizsardzības jomas speciālista, sertificēta hidromelioratīvās būvniecības speciālista atzinuma sagatavošanas  un konsultāciju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hidroloģiskā, hidroģeoloģiskā vai melioratīvā modeļa izstrādes un hidroloģisko vai hidraulisko aprēķinu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ietekmes  sākotnējā izvērtējuma un ietekmes uz vidi novērtējuma, kā arī tehnisko noteikumu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būvniecības ieceres dokumentācijas, būvprojekta sagatavošanas un ar to saistītās normatīvajos aktos paredzētās būvekspertīzes izmaksas atbilstoši būvniecības jomu regulējošiem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autoruzraudzības un būvdarbu būvuzraudzības izmaksas atbilstoši būvniecības jomu regulējošiem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revitalizācijas vai teritorijas atjaunošanas projekta plāna izstrādes un saskaņošanas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atjaunoto teritoriju apsaimniekošanas plānu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izmaksu un ieguvumu analīzes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agroķīmisko, ūdens un citu projektam nepieciešamo analīžu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iesniedzēja valdījumā, turējumā vai īpašumā esošo vēsturisko kūdras ieguves vietu inventarizācijas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atjaunojamo teritoriju apsekošanas un esošās infrastruktūras stāvokļa diagnostikas un tehniskā stāvokļa pārbaudes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sagatavošana revitalizācijai, tostarp: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attīrīšana no nevēlamās zemsedzes un uzkrātajiem materiāliem, kas attiecināmi uz revitalizācijas veiksmīgu īstenošanu (celmu, siekstu izvešana, attīrīšana no nevēlamās zemsedzes, paaugas likvidācija un izvākšana,  būvju nojaukšana, vēsturiskās būvtehnikas  un citu materiālu utilizācija);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virsmas apstrādes izmaksas atkarībā no īstenojamā revitalizācijas veida (līdzināšana, frēzēšana, dziļirdināšana, aparšana un citas līdzīgas tehniskas darbības);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biotehnisko darbību izmaksas, kas nepieciešamas, lai atjaunotu videi raksturīgo struktūru un apstākļus, piemēram, niedru un citu ūdensaugu izpļaušana un to atlikumu izvākšana, bebru dambju nojaukšana, ūdenstilpņu tīrīšana un citas līdzīgas darbības;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īstenošanai un turpmākai apsaimniekošanai nepieciešamās piekļuves infrastruktūras (piemēram, pievedceļu, tehnoloģisko ceļu, brauktuvju un ar to saistītās infrastruktūras) izbūves, atjaunošanas un nojaukšanas izmaksas, kā arī tādu infrastruktūras labiekārtojuma elementu iegādes un izvietošanas izmaksas, kas nepieciešami piekļuves infrastruktūras pieņemšanai ekspluatācijā, nepārsniedzot astoņus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hidrotehnisko un melioratīvo pasākumu izmaksas atbilstoša hidroloģiskā stāvokļa nodrošināšanai, tostarp: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meliorācijas sistēmas (tai skaitā ūdensnoteku, novadgrāvju un grāvju) atjaunošanas, pārbūves, nojaukšanas vai demontāžas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hidrotehnisko būvju (dambju un aizsprostu) būvniecības vai nojaukšanas izmaksas, lai nodrošinātu atbilstošu mitruma līmeni, īstenojot purvu ekosistēmu renaturalizāciju vai ūdeņu ekosistēmu izveidošanu;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caurteku atjaunošanas,  izveidošanas un demontāžas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meliorācijas ūdensnoteku, grāvju un novadgrāvju apauguma tīrīšanas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videi saudzīgu meliorācijas sistēmu elementu (piemēram, akmeņu krāvumu, sedimentācijas baseinu, divpakāpju grāvju, meandru un citu risinājumu) ierīkošanas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purva videi raksturīgo augu donormateriāla ievākšanas izmaksas donorteritorijās un to reintrodukcijas (stādīšanas, izkliedēšanas, transportēšanas)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meža ekosistēmu atjaunošanas un ilgtspējīgas apsaimniekošanas izmaksas, uzlabojot to noturību, ekoloģisko vērtību un klimatnoturību: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meža ieaudzēšanas izmaksas, veidojot mistraudzes ar Latvijas apstākļiem raksturīgām sugām, izņemot kūdrājos, kur to mazās auglības dēļ ieaudzējamas tikai priežu mežaudzes, vai teritorijās, kur dabiskās koku sukcesijas rezultātā veidojas pioniersugu audzes, primāri veicinot dabisku meža ieaudzēšanu atbilstoši normatīvajiem aktiem par mežu ieaudzēšanu un teritorijas attīstības plānošanas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agrotehniskās kopšanas izmaksas, lai novērstu lakstaugu, puskrūmu, nevēlamu koku un krūmu atvašu konkurenci;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augsnes ielabošanas izmaksas, izņemot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minētos augsnes ielabošanas veidus, kā arī ja teritorijai  tuvāk par 50 metriem vai slapju kūdraugšņu meža gadījumā – tuvāk par 100 metriem atrodas  Eiropas Savienības nozīmes augsto un pārejas purvu biotopi (šai gadījumā augsnes ielabošana atļauta tikai tad, ja saņemts sertificēta sugu un biotopa eksperta atzinums, ka šī darbība neradīs būtisku ietekmi uz biotopu);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kokaugu individuālo aizsardzības līdzekļu iegādes un to piemērošanas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kokaugu 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ugunsdrošības aizsardzības infrastruktūras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tiešās attiecināmās projekta vadības un īstenošanas personāla izmaksas atbilstoši šo noteikumu </w:t>
      </w:r>
      <w:r w:rsidR="00000000" w:rsidRPr="00000000" w:rsidDel="00000000">
        <w:rPr>
          <w:rtl w:val="0"/>
        </w:rPr>
        <w:t xml:space="preserve">21.6. </w:t>
      </w:r>
      <w:r w:rsidR="00000000" w:rsidRPr="00000000" w:rsidDel="00000000">
        <w:rPr>
          <w:rtl w:val="0"/>
        </w:rPr>
        <w:t xml:space="preserve">apakšpunktam</w:t>
      </w:r>
      <w:r w:rsidR="00000000" w:rsidRPr="00000000" w:rsidDel="00000000">
        <w:rPr>
          <w:rtl w:val="0"/>
        </w:rPr>
        <w:t xml:space="preserve">,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sešu procentu apmērā no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minētajām tiešajām attiecināmajām izmaksām, kas nav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 personāla darba braucienu, iekšzemes komandējumu un transporta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personāla darba braucienu un iekšzemes komandējumu izmaksas (viesnīcas izmaksas, dienas nauda), kurām piemēro metodiku par iekšzemes komandējumu izmaksu segšanu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izmaksas, nepārsniedzot vienu procentu no projekta kopējām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netiešās attiecināmās izmaksas ir projekta izmaksas, kas nav iekļautas projekta tiešajās attiecināmajās izmaksās, bet ir nepieciešamas projekta rezultātu sasniegšanai, kuras plāno kā vienu izmaksu pozīciju, piemērojot netiešo izmaksu vienoto likmi septiņu procentu apmērā no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Neparedzēto izdevumu finansējuma izlietošanu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2021/1060 64. panta 1. punkta "c" apakšpunktā ietvertajiem nosacījumiem,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trešās atlases kārtas izmaksu attiecināmība, ja projekta darbības tiek īstenotas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minētajās teritorijās un tiek piemērots komercdarbības atbalsts, ir šāda: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attiecināmas ir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minētās izmaksas, ņemot vērā </w:t>
      </w:r>
      <w:r w:rsidR="00000000" w:rsidRPr="00000000" w:rsidDel="00000000">
        <w:rPr>
          <w:rtl w:val="0"/>
        </w:rPr>
        <w:t xml:space="preserve">28.3. </w:t>
      </w:r>
      <w:r w:rsidR="00000000" w:rsidRPr="00000000" w:rsidDel="00000000">
        <w:rPr>
          <w:rtl w:val="0"/>
        </w:rPr>
        <w:t xml:space="preserve">apakšpunktā</w:t>
      </w:r>
      <w:r w:rsidR="00000000" w:rsidRPr="00000000" w:rsidDel="00000000">
        <w:rPr>
          <w:rtl w:val="0"/>
        </w:rPr>
        <w:t xml:space="preserve"> minēto izņēmumu, atbilstoši regulas Nr. 651/2014 45. panta 2. punkta "c" un "d" apakšpunkta un 8. punkta nosacījumam;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24.9. </w:t>
      </w:r>
      <w:r w:rsidR="00000000" w:rsidRPr="00000000" w:rsidDel="00000000">
        <w:rPr>
          <w:rtl w:val="0"/>
        </w:rPr>
        <w:t xml:space="preserve">apakšpunktā</w:t>
      </w:r>
      <w:r w:rsidR="00000000" w:rsidRPr="00000000" w:rsidDel="00000000">
        <w:rPr>
          <w:rtl w:val="0"/>
        </w:rPr>
        <w:t xml:space="preserve"> minētās izmaksas 100 procentu apmērā finansē no Taisnīga pārkārtošanās fonda finansējuma, un tas nekvalificējas kā komercdarbības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attiecināmas šo noteikumu </w:t>
      </w:r>
      <w:r w:rsidR="00000000" w:rsidRPr="00000000" w:rsidDel="00000000">
        <w:rPr>
          <w:rtl w:val="0"/>
        </w:rPr>
        <w:t xml:space="preserve">24.1.10. </w:t>
      </w:r>
      <w:r w:rsidR="00000000" w:rsidRPr="00000000" w:rsidDel="00000000">
        <w:rPr>
          <w:rtl w:val="0"/>
        </w:rPr>
        <w:t xml:space="preserve">apakšpunktā</w:t>
      </w:r>
      <w:r w:rsidR="00000000" w:rsidRPr="00000000" w:rsidDel="00000000">
        <w:rPr>
          <w:rtl w:val="0"/>
        </w:rPr>
        <w:t xml:space="preserve"> minētās izmaksas, kā arī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minētās netiešās izmaksas, ja tās nesniedz tiešu ieguldījumu projekta rezultātu sasniegšanā.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trešajā atlases kārtā ir attiecināmas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minētās izmaksas, ja projekta darbības tiek īstenotas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minētajās teritorijās un šo teritoriju apsaimniekošana, pārvaldība un aizsardzība ietilpst deleģētajos pārvaldes uzdevumos.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izmaksas ir attiecināmas no 2025. gada 1. aprīļa, taču projekts kopumā nedrīkst būt pabeigts pirms projekta iesnieguma iesniegšanas sadarbības iestādē, kas tostarp ir atbilstoši regulas Nr. 651/2014 6. panta 5. punkta "n" apakšpunktam, kurš nosaka stimulējošās ietekmes izņēmumu.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finansējuma saņēmēja līdzekļiem, par kuriem nav saņemts nekāds komercdarbības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attiecināms, projekta īstenošanai nepieciešamos iepirkumus veic, nodrošinot vides prasību integrāciju preču, pakalpojumu un būvdarbu iepirkumos (zaļais publiskais iepirkums), kā arī izvērtē sociāli atbildīgā publiskā iepirkuma un inovatīvā publiskā iepirkuma nosacījumu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savā īpašumā, valdījumā vai turējumā esošo teritoriju inventarizāciju saskaņā ar pasākuma pirmās atlases kārtas ietvaros izstrādāto datnes veidni, kurā norādīts apkopojamo datu veids un daudzums, kas jāiekļauj inventarizācijā;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savā īpašumā, valdījumā vai turējumā esošo teritoriju revitalizāciju, īstenojot piemērotāko revitalizācijas veidu saskaņā ar 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minētās inventarizācijas apkopoto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komunikācijas un vizuālās identitātes pasākumus atbilstoši regulas 2021/1060 47.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savā tīmekļvietnē ne retāk kā vienu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sedz projekta izmaksu pieaugumu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dubultā finansējuma neiestāšanos un to,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saimnieciskās darbības, kā arī nodalot projekta ietvaros veiktās darbības, par kurām tiek saņemts komercdarbības atbalsts, no darbībām valsts deleģēto pārvaldes uzdevumu izpildei;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nekustamais īpašums vai tā daļa, kurā tiks veiktas projektā paredzētās darbības, ir finansējuma saņēmēja īpašumā, valdījumā vai turējumā visā projekta dzīves ciklā. Ja īpašums tiek atsavināts saskaņā ar publiskas personas mantas regulējošiem normatīvajiem aktiem, jānodrošina, ka tiek saglabāta projektu rezultātu ilgtspēja un ievēroti līguma par projekta īstenošanu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15.4. </w:t>
      </w:r>
      <w:r w:rsidR="00000000" w:rsidRPr="00000000" w:rsidDel="00000000">
        <w:rPr>
          <w:rtl w:val="0"/>
        </w:rPr>
        <w:t xml:space="preserve">apakšpunktam</w:t>
      </w:r>
      <w:r w:rsidR="00000000" w:rsidRPr="00000000" w:rsidDel="00000000">
        <w:rPr>
          <w:rtl w:val="0"/>
        </w:rPr>
        <w:t xml:space="preserve">  nodrošina ieņēmumu uzskaiti gada griezumā un sadarbības iestādē iesniedz atbilstošu informāciju pēc sadarbības iestādes pieprasījuma, ja projekta dzīves cikla laikā no projektā izveidotās infrastruktūras izmantošanas tiek gūti ieņēmumi. Ja ieņēmumi pārsniedz šo noteikumu </w:t>
      </w:r>
      <w:r w:rsidR="00000000" w:rsidRPr="00000000" w:rsidDel="00000000">
        <w:rPr>
          <w:rtl w:val="0"/>
        </w:rPr>
        <w:t xml:space="preserve">15.4. apakšpunktā</w:t>
      </w:r>
      <w:r w:rsidR="00000000" w:rsidRPr="00000000" w:rsidDel="00000000">
        <w:rPr>
          <w:rtl w:val="0"/>
        </w:rPr>
        <w:t xml:space="preserve"> minēto apmēru, finansējuma saņēmējs nekavējoties informē par to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rādītāju uzskaiti 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projekta rezultātu ilgtspēju, uzturēšanu un apsaimniekošanu visā projekta dzīves ciklā saskaņā ar spēkā esošo īpaši aizsargājamo dabas teritoriju dabas aizsardzības plāniem vai saskaņā ar ekspertu norādījumiem par teritoriju apsaimniekošanas darbībām pēc projekta noslēgšanas, tostarp nodrošina, ka netiek uzsākta kūdras ieguve;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zemes lietojuma veida maiņas ierosināšanu atbilstoši normatīvajiem aktiem par nekustamā īpašuma lietošanas mērķu noteikšanu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ka meža ieaudzēšanu veic atbilstoši teritorijas attīstības plānošanas dokumentos noteiktajām prasībām, vai saskaņo ar vietējo pašvaldību, ja teritorijas attīstības plānošanas dokumentos nav tieši norādīts atbilstošs zemes lietošanas mērķis, tostarp:</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ieaudzējot mežu, saglabā savrup augošus kokus, koku grupas, rindas un alejas;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meža ieaudzēšanā neveido monoaudzes un plantāciju mežus, izņemot šo noteikumu </w:t>
      </w:r>
      <w:r w:rsidR="00000000" w:rsidRPr="00000000" w:rsidDel="00000000">
        <w:rPr>
          <w:rtl w:val="0"/>
        </w:rPr>
        <w:t xml:space="preserve">24.5.1. </w:t>
      </w:r>
      <w:r w:rsidR="00000000" w:rsidRPr="00000000" w:rsidDel="00000000">
        <w:rPr>
          <w:rtl w:val="0"/>
        </w:rPr>
        <w:t xml:space="preserve">apakšpunktā</w:t>
      </w:r>
      <w:r w:rsidR="00000000" w:rsidRPr="00000000" w:rsidDel="00000000">
        <w:rPr>
          <w:rtl w:val="0"/>
        </w:rPr>
        <w:t xml:space="preserve"> minētajos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ka īpaši aizsargājamās dabas teritorijās, mikroliegumos un Eiropas Savienības nozīmes biotopos projekta darbības tiek īstenotas saskaņā ar īpaši aizsargājamu dabas teritoriju dabas aizsardzības plāniem vai, ja nav spēkā esošu dabas, sugu vai biotopu aizsardzības plānu, saskaņā ar sugu un biotopu eksperta atzinumu par darbību atbilstošu ietekmi uz biotopiem un sugu dzīvotnēm un hidrologa atzinumu par plānotā ūdens līmeņa režīma izmaiņām un to ietekmi uz apkārtējām teritorijām (ja attiecināms), kā arī atbilstoši ietekmes uz vidi novērtējuma vai sākotnējā ietekmes uz vidi novērtējuma procedūrām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īstenošanu un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nosaka pienākumu būvdarbu veicējiem un pakalpojumu sniedzējiem ievērot šādas horizontālā principa "Nenodarīt būtisku kaitējumu"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tiek ievērots koku ciršanas aizliegums putnu ligzdošanas periodā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paredzēta meliorācijas sistēmu atjaunošana vai pārbūve normatīvajos aktos par riska ūdensobjektiem noteiktajos riska ūdensobjektu sateces baseinos, atbalstu par meliorācijas sistēmu atjaunošanu vai pārbūvi var saņemt tikai par videi saudzīgu meliorācijas elementu izveidi. Videi saudzīgu meliorācijas sistēmu elementu izveide ir piemērojama, atjaunojot un pārbūvējot meliorācijas sistēmas arī ārpus riska ūdensobjektu sateces baseiniem, ja vien tas ir tehniski iespējams, lietderīgi, izmaksu ziņā efektīvi un ja pastāv pietiekami liels notekošo ūdeņu daudzums vai citi būtiski vides ieguvumi;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plānoto projekta revitalizācijas darbību Latvijas pierobežā un nacionālajai aizsardzībai nozīmīgas infrastruktūras tuvumā koordinē ar Aizsardzības ministriju.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minētās inventarizācijas rezultātus finansējuma saņēmējs iesniedz atbildīgajai iestādei līdz 2027. gada 1. oktobrim.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2021.–2027. gada plānošanas periodā, nodrošina finansējuma saņēmējam avansa maksājumus, kurus var izmaksāt vairākos maksājumos, ievērojot, ka avansa un starpposma maksājumu kopsumma nepārsniedz 90 procentus no projektam piešķirtā Taisnīgas pārkārtošanās fonda un valsts budžeta 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Avansa maksājuma izlietošanas laiks finansējuma saņēmējam nepārsniedz sešus mēnešus.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Komercdarbības atbalstu šo noteikumu ietvaros piešķir saskaņā ar regulas Nr. 651/2014 45. panta 2. punkta  "c" un "d" apakšpunktu un 8. punktu, ja ir ievēroti visi turpmāk minētie regulas Nr. 651/2014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651/2014 un kurām tiek nodrošināta izmaksu nošķiršana, lai darbības izslēgtajās nozarēs negūst labumu no atbalsta, kas piešķirts saskaņā ar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komersantam uzņēmumu grupas līmenī, ja uz kādu no komersantiem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 panta 4. punkta "c" apakšpunkta nosacījumi, ka atbalsts netiek piešķirts grūtībās nonākušam komersantam, kuram uzņēmumu grupas līmenī konstatējama  vismaz viena regulas Nr. 651/2014 2. panta 18. punktā minētā situācija;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 panta 5. punkta nosacījumi par pasākumiem, kuriem nepiemēro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45. panta 3. punkta nosacījumi par atbalsta nepiešķiršanu darbībām, kas paredzētas, lai novērstu dabas katastrofu, piemēram, zemes nogruvumu, plūdu, viesuļvētru, orkānu un dabiskas izcelsmes ugunsgrēku, radītos zaudējumus;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45. panta 4. punkta nosacījumi par atbalsta nepiešķiršanu remediācijai vai sanācijai pēc elektrostaciju slēgšanas un kalnrūpniecības vai ieguves darbību izbeigšanas;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45. panta 5. punkta nosacījumi par atbalsta nepiešķiršanu kompensācijas pasākumu īstenošanai, lai nodrošinātu </w:t>
      </w:r>
      <w:r w:rsidR="00000000" w:rsidRPr="00000000" w:rsidDel="00000000">
        <w:rPr>
          <w:i w:val="1"/>
          <w:rtl w:val="0"/>
        </w:rPr>
        <w:t xml:space="preserve">Natura 2000</w:t>
      </w:r>
      <w:r w:rsidR="00000000" w:rsidRPr="00000000" w:rsidDel="00000000">
        <w:rPr>
          <w:rtl w:val="0"/>
        </w:rPr>
        <w:t xml:space="preserve"> tīkla kopējās vienotības aizsardzību;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45. panta 5. punkta nosacījumi par principa "piesārņotājs maksā"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Piešķirtais komercdarbības atbalsts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ja vien atbalsts attiecas uz dažādām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Maksimālā Taisnīgas pārkārtošanās fonda finansējuma intensitāte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izmaksu segšanai, ievērojot regulas Nr. 651/2014 45. panta 9. punkta "b" apakšpunktu, lielajiem uzņēmumiem ir 70 procenti.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Lēmumu par atbalsta piešķiršanu saskaņā ar regulu Nr. 651/2014 pieņem līdz 2027.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39.3.</w:t>
      </w:r>
      <w:r w:rsidR="00000000" w:rsidRPr="00000000" w:rsidDel="00000000">
        <w:rPr>
          <w:rtl w:val="0"/>
        </w:rPr>
        <w:t xml:space="preserve"> un </w:t>
      </w:r>
      <w:r w:rsidR="00000000" w:rsidRPr="00000000" w:rsidDel="00000000">
        <w:rPr>
          <w:rtl w:val="0"/>
        </w:rPr>
        <w:t xml:space="preserve">39.4. </w:t>
      </w:r>
      <w:r w:rsidR="00000000" w:rsidRPr="00000000" w:rsidDel="00000000">
        <w:rPr>
          <w:rtl w:val="0"/>
        </w:rPr>
        <w:t xml:space="preserve">apakšpunktā</w:t>
      </w:r>
      <w:r w:rsidR="00000000" w:rsidRPr="00000000" w:rsidDel="00000000">
        <w:rPr>
          <w:rtl w:val="0"/>
        </w:rPr>
        <w:t xml:space="preserve"> iekļautos nosacījumus pārbauda uz komercdarbības atbalsta piešķiršanas brīdi un uz projekta iesnieguma iesniegšanas brīdi sadarbības iestādē.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nodrošina, ka ar komercdarbības atbalstu saistīto projekta dokumentāciju glabā 10 gadus no dienas, kad saskaņā ar šiem noteikumiem piešķirts komercdarbības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 informāciju par sniegto komercdarbības atbalstu un minēto atbalstu apliecinošos dokumentus glabā 10 gadus no dienas, kad saskaņā ar šiem noteikumiem piešķirts pēdējais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atbilstoši regulas Nr. 651/2014 9. panta 1. un 4. punktam un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tiek pārkāpti regulas Nr. 651/2014 nosacījumi, finansējuma saņēmējam ir pienākums atmaksāt sadarbības iestādei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ar saimniecisku darbību nesaistīts projekts vai tā daļa atbilstoši šo noteikumu </w:t>
      </w:r>
      <w:r w:rsidR="00000000" w:rsidRPr="00000000" w:rsidDel="00000000">
        <w:rPr>
          <w:rtl w:val="0"/>
        </w:rPr>
        <w:t xml:space="preserve">14.1. </w:t>
      </w:r>
      <w:r w:rsidR="00000000" w:rsidRPr="00000000" w:rsidDel="00000000">
        <w:rPr>
          <w:rtl w:val="0"/>
        </w:rPr>
        <w:t xml:space="preserve">apakšpunkta</w:t>
      </w:r>
      <w:r w:rsidR="00000000" w:rsidRPr="00000000" w:rsidDel="00000000">
        <w:rPr>
          <w:rtl w:val="0"/>
        </w:rPr>
        <w:t xml:space="preserve">m tā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komercdarbības atbalstu kopā ar procentiem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25-TA-832</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25-TA-832</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noteikumu_projekts_25-TA-832.docx</dc:title>
</cp:coreProperties>
</file>

<file path=docProps/custom.xml><?xml version="1.0" encoding="utf-8"?>
<Properties xmlns="http://schemas.openxmlformats.org/officeDocument/2006/custom-properties" xmlns:vt="http://schemas.openxmlformats.org/officeDocument/2006/docPropsVTypes"/>
</file>