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12. maijā (prot. Nr. 27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26. maija noteikumos Nr. 265 "Jaunatnes konsultatīvās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Jaunatnes likuma</w:t>
      </w:r>
      <w:r w:rsidR="00000000" w:rsidRPr="00000000" w:rsidDel="00000000">
        <w:rPr>
          <w:rStyle w:val="paragraph"/>
          <w:i w:val="1"/>
          <w:rtl w:val="0"/>
        </w:rPr>
        <w:t xml:space="preserve"> 4.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26. maija noteikumos Nr. 265 "Jaunatnes konsultatīvās padomes nolikums" (Latvijas Vēstnesis, 2014, 107. nr.; 2015, 25. nr.; 2019, 172. nr.; 2020, 185. nr.; 2024, 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reizi gadā kopīgi ar visām nozaru ministrijām izvērtēt, vai situācija jaunatnes politikas īstenošanā atbilst jaunatnes politikas attīstības plānošanas dokumentos un Jaunatnes politikas valsts programmā noteiktajam, un sniegt Izglītības un zinātnes ministrijai ieteikumus par prioritārajiem atbalsta virzieniem un pasākumiem jaunatnes politikā nākamajā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Padomes sastāvā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Izglītības un zinātnes ministrijas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Kultūras ministrijas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Labklājības ministrijas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Veselības ministrijas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Jaunatnes starptautisko programmu aģentūras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biedrības "Latvijas Jaunatnes padome"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biedrības "Latvijas Studentu apvienība"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biedrības "Latvijas Jaunatnes darbinieku asociācija"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biedrības "Latvijas Brīvo arodbiedrību savienība"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biedrības "Latvijas Pašvaldību savienība"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trīs Latvijas pašvaldību jauniešu domju pārstāvji;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ne mazāk kā 10 jaunatnes (tai skaitā latviešu diasporas) organizāciju pārstāvji, kurus deleģē biedrība "Latvijas Jaunatnes padome", iesniedzot informāciju Izglītības un zinātnes ministrijā."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26-TA-157</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26-TA-157</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noteikumu_(grozījumu)_projekts_26-TA-157.docx</dc:title>
</cp:coreProperties>
</file>

<file path=docProps/custom.xml><?xml version="1.0" encoding="utf-8"?>
<Properties xmlns="http://schemas.openxmlformats.org/officeDocument/2006/custom-properties" xmlns:vt="http://schemas.openxmlformats.org/officeDocument/2006/docPropsVTypes"/>
</file>