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Korekcijas koeficienti </w:t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z</w:t>
      </w:r>
      <w:r w:rsidR="00000000" w:rsidRPr="00000000" w:rsidDel="00000000">
        <w:rPr>
          <w:rStyle w:val="paragraph_header"/>
          <w:b w:val="1"/>
          <w:rtl w:val="0"/>
        </w:rPr>
        <w:t xml:space="preserve"> novērstajiem tīkla zudumiem, kas piemērojami lietderības koeficienta aprēķinam atsevišķai elektroenerģijas ražošanai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89"/>
        <w:gridCol w:w="3005"/>
        <w:gridCol w:w="3005"/>
        <w:tblGridChange w:id="0">
          <w:tblGrid>
            <w:gridCol w:w="3389"/>
            <w:gridCol w:w="3005"/>
            <w:gridCol w:w="300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Spriegums tīklā, kuram pieslēgta koģenerācijas elektrostacija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Attiecībā uz elektroenerģiju, kas nodota tīklā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Attiecībā uz elektroenerģiju, kas patērēta koģenerācijas elektrostacijā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345 kV vai lielāks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0,976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 līdz 345 kV (neieskaitot)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0,963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100 līdz 200 kV (neieskaitot)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0,951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50 līdz 100 kV (neieskaitot)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0,936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12 līdz 50 kV (neieskaitot)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0,45 līdz 12 kV (neieskaitot)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0,891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Mazāks par 0,45 kV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0,851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25-TA-499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25-TA-499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noteikumu_konsolidētā_versija_p2_25-TA-499.docx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