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493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12. augustā (prot. Nr. 31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7. maija noteikumos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w:t>
      </w:r>
      <w:r>
        <w:br/>
      </w:r>
      <w:r w:rsidR="00000000" w:rsidRPr="00000000" w:rsidDel="00000000">
        <w:rPr>
          <w:rStyle w:val="paragraph"/>
          <w:i w:val="1"/>
          <w:rtl w:val="0"/>
        </w:rPr>
        <w:t xml:space="preserve">2021.–2027. gada plānošanas perioda vadības likuma</w:t>
      </w:r>
      <w:r>
        <w:br/>
      </w:r>
      <w:r w:rsidR="00000000" w:rsidRPr="00000000" w:rsidDel="00000000">
        <w:rPr>
          <w:rStyle w:val="paragraph"/>
          <w:i w:val="1"/>
          <w:rtl w:val="0"/>
        </w:rPr>
        <w:t xml:space="preserve">19. panta 6. un 13. punktu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7. maija noteikumos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 (Latvijas Vēstnesis, 2024, 89.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4. politikas mērķa "Sociālāka un iekļaujošāka Eiropa, īstenojot Eiropas sociālo tiesību pīlāru" 4.2. prioritātes "Izglītība, prasmes un mūžizglītība"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pasākumu "Atbalsts pieaugušo individuālajās vajadzībās balstītai pieaugušo izglītībai"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Pēc projekta iesnieguma apstiprināšanas finansējuma saņēmējs ar katru šo noteikumu 14.1., 14.2., 14.3. un 14.4. apakšpunktā minēto sadarbības partneri slēdz sadarbības līgumu atbilstoši normatīvajiem aktiem par kārtību, kādā Eiropas Savienības fondu vadībā iesaistītās institūcijas nodrošina Eiropas Savienības fondu ieviešanu 2021.–2027. gada plānošanas periodā, un iekļauj arī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maksājumu veikšanas kārtība šo noteikumu 21.2., 21.3., 21.4., 21.5., 21.6., 21.7. un 21.8. apakšpunktā minēto atbalstāmo darbību īstenošanai un tiešo attiecināmo izmaksu segšanai;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sadarbības partnera dokumentu, pārskatu un citas informācijas aprites un glabāšanas kārtība un termiņi;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 sadarbības partnera īstenojamās atbalstāmās darbības un to apjoms."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21.11.4.</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"21.11.4.</w:t>
      </w:r>
      <w:r w:rsidR="00000000" w:rsidRPr="00000000" w:rsidDel="00000000">
        <w:rPr>
          <w:vertAlign w:val="superscript"/>
          <w:rtl w:val="0"/>
        </w:rPr>
        <w:t xml:space="preserve">1</w:t>
      </w:r>
      <w:r w:rsidR="00000000" w:rsidRPr="00000000" w:rsidDel="00000000">
        <w:rPr>
          <w:rtl w:val="0"/>
        </w:rPr>
        <w:t xml:space="preserve"> atbalsts bērnu ar invaliditāti uzraudzības pakalpojumu nodrošināšanai atbilstoši mācību ilgumam nodarbinātajiem, kuru aprūpē ir bērns ar invaliditāti vai pilngadīga persona, kura nav sasniegusi 24 gadu vecumu, ja tai ir noteikta I vai II invaliditātes grupa;".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23.10.2.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"23.10.2. finanšu atlīdzība bērnu uzraudzības pakalpojumu nodrošināšanai mācību laikā šo noteikumu 21.11.4. un 21.11.4.</w:t>
      </w:r>
      <w:r w:rsidR="00000000" w:rsidRPr="00000000" w:rsidDel="00000000">
        <w:rPr>
          <w:vertAlign w:val="superscript"/>
          <w:rtl w:val="0"/>
        </w:rPr>
        <w:t xml:space="preserve">1</w:t>
      </w:r>
      <w:r w:rsidR="00000000" w:rsidRPr="00000000" w:rsidDel="00000000">
        <w:rPr>
          <w:rtl w:val="0"/>
        </w:rPr>
        <w:t xml:space="preserve"> apakšpunktā minētās atbalstāmās darbības īstenošanai (ja nodarbinātais piedalās šo noteikumu 21.5., 21.6., 21.7., 21.8. un 21.9. apakšpunktā minētajās atbalstāmajās darbībās), nepārsniedzot vienam nodarbinātajam ar bērnu uzraudzības pakalpojumu saistīto izdevumu kompensācijas apmēru 10,08 </w:t>
      </w:r>
      <w:r w:rsidR="00000000" w:rsidRPr="00000000" w:rsidDel="00000000">
        <w:rPr>
          <w:i w:val="1"/>
          <w:rtl w:val="0"/>
        </w:rPr>
        <w:t xml:space="preserve">euro</w:t>
      </w:r>
      <w:r w:rsidR="00000000" w:rsidRPr="00000000" w:rsidDel="00000000">
        <w:rPr>
          <w:rtl w:val="0"/>
        </w:rPr>
        <w:t xml:space="preserve"> stundā;".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23.10.4.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"23.10.4. finanšu atbalsts izdevumiem par dzīvojamās telpas īri vai dzīvošanu dienesta viesnīcā šo noteikumu 21.11.3. apakšpunktā minētās atbalstāmās darbības īstenošanai, vienam nodarbinātajam nepārsniedzot kompensācijas</w:t>
      </w:r>
      <w:r w:rsidR="00000000" w:rsidRPr="00000000" w:rsidDel="00000000">
        <w:rPr>
          <w:i w:val="1"/>
          <w:rtl w:val="0"/>
        </w:rPr>
        <w:t xml:space="preserve"> </w:t>
      </w:r>
      <w:r w:rsidR="00000000" w:rsidRPr="00000000" w:rsidDel="00000000">
        <w:rPr>
          <w:rtl w:val="0"/>
        </w:rPr>
        <w:t xml:space="preserve">apmēru 43,90</w:t>
      </w:r>
      <w:r w:rsidR="00000000" w:rsidRPr="00000000" w:rsidDel="00000000">
        <w:rPr>
          <w:i w:val="1"/>
          <w:rtl w:val="0"/>
        </w:rPr>
        <w:t xml:space="preserve"> euro</w:t>
      </w:r>
      <w:r w:rsidR="00000000" w:rsidRPr="00000000" w:rsidDel="00000000">
        <w:rPr>
          <w:rtl w:val="0"/>
        </w:rPr>
        <w:t xml:space="preserve"> diennaktī vai 275,03</w:t>
      </w:r>
      <w:r w:rsidR="00000000" w:rsidRPr="00000000" w:rsidDel="00000000">
        <w:rPr>
          <w:i w:val="1"/>
          <w:rtl w:val="0"/>
        </w:rPr>
        <w:t xml:space="preserve"> euro</w:t>
      </w:r>
      <w:r w:rsidR="00000000" w:rsidRPr="00000000" w:rsidDel="00000000">
        <w:rPr>
          <w:rtl w:val="0"/>
        </w:rPr>
        <w:t xml:space="preserve"> 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23.10.6.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"23.10.6. starptautiskās sertifikācijas eksāmenu kompensācijas izmaksas, ja pēc šo noteikumu 21.6. un 21.7. apakšpunktā minēto mācību apguves tiek iegūts akreditētas personāla sertifikācijas institūcijas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Nodarbinātajiem, kuri nepārstāv mājsaimniecību, kam piešķirts maznodrošinātas vai trūcīgas mājsaimniecības statuss, kā arī nav bēgļi un personas ar alternatīvo statusu, šo noteikumu 23.8.2. apakšpunktā minētās mācību izmaksas un šo noteikumu 23.10.1. apakšpunktā minētās ārpus formālās izglītības sistēmas apgūtās profesionālās kompetences novērtēšanas izmaksas var segt 90 līdz 100 procentu apmērā, bet šo noteikumu 23.8.3., 23.8.4., 23.8.5. un 23.11.7. apakšpunktā minētās mācību izmaksas – 30 līdz 90 procentu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Īstenojot šo noteikumu 21.11.4. un 21.11.4.</w:t>
      </w:r>
      <w:r w:rsidR="00000000" w:rsidRPr="00000000" w:rsidDel="00000000">
        <w:rPr>
          <w:vertAlign w:val="superscript"/>
          <w:rtl w:val="0"/>
        </w:rPr>
        <w:t xml:space="preserve">1</w:t>
      </w:r>
      <w:r w:rsidR="00000000" w:rsidRPr="00000000" w:rsidDel="00000000">
        <w:rPr>
          <w:rtl w:val="0"/>
        </w:rPr>
        <w:t xml:space="preserve"> apakšpunktā minēto atbalstāmo darbību, finansējuma saņēmējs atbalstu bērnu uzraudzības pakalpojumu nodrošināšanai: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 piešķir, ja nodarbinātā, kurš pārstāv daudzbērnu ģimeni vai mājsaimniecību, kam piešķirts maznodrošinātas vai trūcīgas mājsaimniecības statuss, kā arī bēgļu un personu ar alternatīvo statusu apgādībā ir vismaz viens bērns vecumā līdz septiņiem gadiem vai ja nodarbinātā aprūpē ir bērns ar invaliditāti vai pilngadīga persona, kura nav sasniegusi 24 gadu vecumu un kurai ir noteikta I vai II invaliditātes grupa;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 piešķir par bērnu līdz trim gadiem atbilstoši nodarbinātās personas mācību norises grafikam un nodarbību apmeklējumam šo noteikumu 21.5., 21.6., 21.7., 21.8. un 21.9. apakšpunktā minētajās atbalstāmajās darbībās;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31.3. piešķir par bērnu no trim līdz septiņiem gadiem, ja nodarbinātai personai šo noteikumu 21.5., 21.6., 21.7., 21.8. un 21.9. apakšpunktā minētās atbalstāmās darbības notiek darba dienās pēc septiņiem vakarā vai brīvdienās atbilstoši nodarbinātās personas mācību norises grafikam un nodarbību apmeklējumam;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31.4. piešķir par bērnu ar invaliditāti vai par pilngadīgu personu, kura nav sasniegusi 24 gadu vecumu, ja tai ir noteikta I vai II invaliditātes grupa, atbilstoši nodarbinātās personas mācību norises grafikam un nodarbību apmeklējumam šo noteikumu 21.5., 21.6., 21.7., 21.8. un 21.9. apakšpunktā minētajās atbalstāmajās darbībās;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31.5. piešķir, ja mēneša laikā ir saņemts nodarbinātās personas iesniegums par nepieciešamo finanšu atbalstu ar bērnu uzraudzības pakalpojumu saistīto izdevumu kompensācijai iepriekšējā mēnesī un finansējuma saņēmējs ir pieņēmis lēmumu par finanšu atbalsta piešķiršanu;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31.6. izmaksā, ja nodarbinātās personas finansējuma saņēmējam iesniedz izdevumus apliecinošus dokumentus par iepriekšējo mēnesi (bērnu uzraudzības pakalpojuma izdevumus apliecinošus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Īstenojot šo noteikumu 21.10. apakšpunktā minēto atbalstāmo darbību, finansējuma saņēmējs ārpus formālās izglītības sistēmas apgūtās profesionālās kompetences novērtēšanas izmaksas mērķa grupai piešķir, ja nodarbinātās personas iesniegums par nepieciešamo finanšu atbalstu ir saņemts sešu mēnešu laikā no ārpus formālās izglītības sistēmas apgūtās profesionālās kompetences novērtēšanas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Šo noteikumu 21.5., 21.6., 21.7., 21.8. un 21.9. apakšpunktā minētās atbalstāmās darbības īstenošanā paredzēto mācību piedāvājumu, kā arī šo noteikumu 27. punktā minēto mācību izmaksu un ārpus formālās izglītības sistēmas apgūtās profesionālās kompetences novērtēšanas izmaksu segšanas procentuālo apmēru nosaka un apstiprina šo noteikumu 61. punktā minētā Ekonomikas ministrijas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Uzsākot īstenot mērķa grupas iesaisti šo noteikumu 21.3., 21.4., 21.5., 21.6., 21.7., 21.8., 21.9. un 21.10. apakšpunktā minētajās darbībās, izvērtē katras personas atbilstību iesaistes kritērijiem. Atbilstības pārbaudē finansējuma saņēmējs sadarbojas ar Valsts ieņēmumu dienestu, lai pārbaudītu katras personas nodarbinātības statusu, ar Pilsonības un migrācijas lietu pārvaldi – lai pārbaudītu katras personas vecumu, dzimumu, daudzbērnu ģimenes statusu, kā arī to, vai tai piešķirts bēgļa vai alternatīvas personas statuss, ar Sabiedrības integrācijas fondu – lai pārliecinātos par daudzbērnu ģimenes statusu un tādas ģimenes statusu, kuras aprūpē ir bērns ar invaliditāti vai pilngadīga persona, kura nav sasniegusi 24 gadu vecumu, ja tai ir noteikta I vai II invaliditātes grupa, kā arī izmanto Pašvaldību sociālās palīdzības un sociālo pakalpojumu administrēšanas lietojumprogrammu maznodrošinātas vai trūcīgas mājsaimniecības statusa noteikšanai uz iesaistes brīdi."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Finansējuma saņēmējs nodrošina, ka Atveseļošanas un noturības mehānisma 2.3.1.4.i. investīcijas pasākuma ietvaros izstrādātā prasmju pārvaldības platforma un individuālo mācību kontu pieeja tiek turpināta pasākuma ietvaros, un nodrošina individuālo mācību kontu lietošanu pasākumā iesaistītajiem nodarbinātajiem. Mērķa grupas personai, reģistrējoties prasmju pārvaldības platformā un izveidojot individuālo mācību kontu, tiek iegūti un apstrādāti Ministru kabineta 2024. gada 23. jūlija noteikumu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 77. un 78. punktā noteiktie personas dati."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56.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61.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Komisijas sastāvā iekļauj Ekonomikas ministrijas, Labklājības ministrijas, Izglītības un zinātnes ministrijas, Latvijas Darba devēju konfederācijas, Latvijas Brīvo arodbiedrību savienības un citu kompetento institūciju vai biedrību un nodibinājumu pārstāvjus un ekspertus, kas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regulāri iepazīstas ar projekta īstenošanas rezultātu un rezultatīvo rādītāju sasniegšanas analīzi un novērtē to ietekmi uz nacionālajos un starptautiskajos dokumentos noteikto mērķu sasniegšanu pirms iesniegšanas izskatīšanā Cilvēkkapitāla attīstības padomē. Komisijas sastāvu un nolikumu apstiprina ekonomikas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62.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Šo noteikumu 32. punktā minētais nosacījums par mērķa grupas personas iesnieguma iesniegšanu sešu mēnešu laikā no ārpus formālās izglītības sistēmas apgūtās profesionālās kompetences novērtēšanas dienas ir attiecināms no 2025. gada 1. janvāra."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ministra pienākumu izpildītājs ‒ 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25-TA-788</w:t>
    </w:r>
    <w:r>
      <w:br/>
    </w:r>
    <w:r w:rsidR="00000000" w:rsidRPr="00000000" w:rsidDel="00000000">
      <w:rPr>
        <w:rtl w:val="0"/>
      </w:rPr>
      <w:t xml:space="preserve">Izdrukāts 29.07.2026. 23.13 - 1.0.VK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25-TA-788</w:t>
    </w:r>
    <w:r>
      <w:br/>
    </w:r>
    <w:r w:rsidR="00000000" w:rsidRPr="00000000" w:rsidDel="00000000">
      <w:rPr>
        <w:rtl w:val="0"/>
      </w:rPr>
      <w:t xml:space="preserve">Izdrukāts 29.07.2026. 23.13 - 1.0.VK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noteikumu_(grozījumu)_projekts_25-TA-788.docx</dc:title>
</cp:coreProperties>
</file>

<file path=docProps/custom.xml><?xml version="1.0" encoding="utf-8"?>
<Properties xmlns="http://schemas.openxmlformats.org/officeDocument/2006/custom-properties" xmlns:vt="http://schemas.openxmlformats.org/officeDocument/2006/docPropsVTypes"/>
</file>