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Finanšu tirgus digitālās darbības noturības un mākslīgā intelekta izmantošanas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aktīviem piesaistītu žetonu emitents</w:t>
      </w:r>
      <w:r w:rsidR="00000000" w:rsidRPr="00000000" w:rsidDel="00000000">
        <w:rPr>
          <w:rtl w:val="0"/>
        </w:rPr>
        <w:t xml:space="preserve"> – aktīviem piesaistītu žetonu emitents Eiropas Parlamenta un Padomes 2023. gada 31. maija regulas (ES) 2023/1114 par kriptoaktīvu tirgiem un ar ko groza regulas (ES) Nr. 1093/2010 un (ES) Nr. 1095/2010 un direktīvas 2013/36/ES un (ES) 2019/1937 (turpmāk – Regula Nr. 2023/1114), 3. panta 1. punkta 6. un 10.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alternatīvo ieguldījumu fondu pārvaldnieks</w:t>
      </w:r>
      <w:r w:rsidR="00000000" w:rsidRPr="00000000" w:rsidDel="00000000">
        <w:rPr>
          <w:rtl w:val="0"/>
        </w:rPr>
        <w:t xml:space="preserve"> – alternatīvo ieguldījumu fondu pārvaldnieks Alternatīvo ieguldījumu fondu un to pārvaldnieku likuma 1. panta 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apdrošināšanas papildpakalpojuma starpnieks</w:t>
      </w:r>
      <w:r w:rsidR="00000000" w:rsidRPr="00000000" w:rsidDel="00000000">
        <w:rPr>
          <w:rtl w:val="0"/>
        </w:rPr>
        <w:t xml:space="preserve"> – apdrošināšanas papildpakalpojuma starpnieks Apdrošināšanas un pārapdrošināšanas izplatīšanas likuma 1. panta pirmās daļas 7.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apdrošināšanas sabiedrība</w:t>
      </w:r>
      <w:r w:rsidR="00000000" w:rsidRPr="00000000" w:rsidDel="00000000">
        <w:rPr>
          <w:rtl w:val="0"/>
        </w:rPr>
        <w:t xml:space="preserve"> – apdrošināšanas sabiedrība Apdrošināšanas un pārapdrošināšanas likuma 1. panta pirmās daļas 5.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apdrošināšanas starpnieks</w:t>
      </w:r>
      <w:r w:rsidR="00000000" w:rsidRPr="00000000" w:rsidDel="00000000">
        <w:rPr>
          <w:rtl w:val="0"/>
        </w:rPr>
        <w:t xml:space="preserve"> – apdrošināšanas starpnieks Apdrošināšanas un pārapdrošināšanas izplatīšanas likuma 1. panta pirmās daļas 8.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ar IKT saistīts incidents</w:t>
      </w:r>
      <w:r w:rsidR="00000000" w:rsidRPr="00000000" w:rsidDel="00000000">
        <w:rPr>
          <w:rtl w:val="0"/>
        </w:rPr>
        <w:t xml:space="preserve"> – ar informācijas un komunikācijas tehnoloģijām (turpmāk – IKT) saistīts incidents Eiropas Parlamenta un Padomes 2022. gada 14. decembra regulas (ES) 2022/2554 par finanšu nozares digitālās darbības noturību un ar ko groza regulas (EK) Nr. 1060/2009, (ES) Nr. 648/2012, (ES) Nr. 600/2014, (ES) Nr. 909/2014 un (ES) 2016/1011 (turpmāk - Regula Nr. 2022/2554), 3. panta 8.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ar trešo personu saistīts IKT risks</w:t>
      </w:r>
      <w:r w:rsidR="00000000" w:rsidRPr="00000000" w:rsidDel="00000000">
        <w:rPr>
          <w:rtl w:val="0"/>
        </w:rPr>
        <w:t xml:space="preserve"> – ar trešo personu saistīts IKT risks Regulas Nr. 2022/2554 3. panta 18.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būtiski kiberdraudi</w:t>
      </w:r>
      <w:r w:rsidR="00000000" w:rsidRPr="00000000" w:rsidDel="00000000">
        <w:rPr>
          <w:rtl w:val="0"/>
        </w:rPr>
        <w:t xml:space="preserve"> – būtiski kiberdraudi Regulas Nr. 2022/2554 3. panta 13.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būtisks ar IKT saistīts incidents</w:t>
      </w:r>
      <w:r w:rsidR="00000000" w:rsidRPr="00000000" w:rsidDel="00000000">
        <w:rPr>
          <w:rtl w:val="0"/>
        </w:rPr>
        <w:t xml:space="preserve"> – būtisks ar IKT saistīts incidents Regulas Nr. 2022/2554 3. panta 10.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būtisks ar maksājumiem saistīts darbības vai drošības incidents</w:t>
      </w:r>
      <w:r w:rsidR="00000000" w:rsidRPr="00000000" w:rsidDel="00000000">
        <w:rPr>
          <w:rtl w:val="0"/>
        </w:rPr>
        <w:t xml:space="preserve"> – būtisks ar maksājumiem saistīts darbības vai drošības incidents Regulas Nr. 2022/2554 3. panta 11.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centrālais darījumu partneris</w:t>
      </w:r>
      <w:r w:rsidR="00000000" w:rsidRPr="00000000" w:rsidDel="00000000">
        <w:rPr>
          <w:rtl w:val="0"/>
        </w:rPr>
        <w:t xml:space="preserve"> – centrālais darījumu partneris Eiropas Parlamenta un Padomes 2012. gada 4. jūlija regulas (ES) 648/2012 par ārpusbiržas atvasinātajiem instrumentiem, centrālajiem darījumu partneriem un darījumu reģistriem (turpmāk – Regula Nr. 648/2012) 2. panta 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b w:val="1"/>
          <w:rtl w:val="0"/>
        </w:rPr>
        <w:t xml:space="preserve">centrālais vērtspapīru depozitārijs</w:t>
      </w:r>
      <w:r w:rsidR="00000000" w:rsidRPr="00000000" w:rsidDel="00000000">
        <w:rPr>
          <w:rtl w:val="0"/>
        </w:rPr>
        <w:t xml:space="preserve"> – centrālais vērtspapīru depozitārijs Eiropas Parlamenta un Padomes 2014. gada 23. jūlija regulas (ES) Nr. 909/2014 par vērtspapīru norēķinu uzlabošanu Eiropas Savienībā, centrālajiem vērtspapīru depozitārijiem un grozījumiem direktīvās 98/26/EK un 2014/65/ES un regulā (ES) Nr. 236/2012 2. panta 1. punkta 1.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b w:val="1"/>
          <w:rtl w:val="0"/>
        </w:rPr>
        <w:t xml:space="preserve">dalībvalsts mātes finanšu pārvaldītājsabiedrība</w:t>
      </w:r>
      <w:r w:rsidR="00000000" w:rsidRPr="00000000" w:rsidDel="00000000">
        <w:rPr>
          <w:rtl w:val="0"/>
        </w:rPr>
        <w:t xml:space="preserve"> – dalībvalsts mātes finanšu pārvaldītājsabiedrība Eiropas Parlamenta un Padomes 2013. gada 26. jūnija regulas (ES) 575/2013 par prudenciālajām prasībām attiecībā uz kredītiestādēm un ieguldījumu brokeru sabiedrībām, un ar ko groza regulu (ES) Nr. 648/2012 (turpmāk – Regula Nr. 575/2013), 4. panta 1. punkta 30.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b w:val="1"/>
          <w:rtl w:val="0"/>
        </w:rPr>
        <w:t xml:space="preserve">dalībvalsts mātes jaukta finanšu pārvaldītājsabiedrība</w:t>
      </w:r>
      <w:r w:rsidR="00000000" w:rsidRPr="00000000" w:rsidDel="00000000">
        <w:rPr>
          <w:rtl w:val="0"/>
        </w:rPr>
        <w:t xml:space="preserve"> – dalībvalsts mātes jaukta finanšu pārvaldītājsabiedrība Regulas Nr. 575/2013 4. panta 1. punkta 32.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b w:val="1"/>
          <w:rtl w:val="0"/>
        </w:rPr>
        <w:t xml:space="preserve">darījumu reģistrs</w:t>
      </w:r>
      <w:r w:rsidR="00000000" w:rsidRPr="00000000" w:rsidDel="00000000">
        <w:rPr>
          <w:rtl w:val="0"/>
        </w:rPr>
        <w:t xml:space="preserve"> –- darījumu reģistrs Regulas Nr. 648/2012 2. panta 2.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b w:val="1"/>
          <w:rtl w:val="0"/>
        </w:rPr>
        <w:t xml:space="preserve">datu ziņošanas pakalpojumu sniedzējs</w:t>
      </w:r>
      <w:r w:rsidR="00000000" w:rsidRPr="00000000" w:rsidDel="00000000">
        <w:rPr>
          <w:rtl w:val="0"/>
        </w:rPr>
        <w:t xml:space="preserve"> – apstiprināta publicēšanas struktūra, konsolidētu datu lentes nodrošinātājs, apstiprināta ziņošanas sistēma Eiropas Parlamenta un Padomes 2014. gada 4. maija regulas (ES) 600/2014 par finanšu instrumentu tirgiem un ar ko groza regulu (ES) Nr. 648/2012, 2. panta 1. punkta 34., 35. un 36.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b w:val="1"/>
          <w:rtl w:val="0"/>
        </w:rPr>
        <w:t xml:space="preserve">digitālās darbības noturība</w:t>
      </w:r>
      <w:r w:rsidR="00000000" w:rsidRPr="00000000" w:rsidDel="00000000">
        <w:rPr>
          <w:rtl w:val="0"/>
        </w:rPr>
        <w:t xml:space="preserve"> – digitālās darbības noturība Regulas Nr. 2022/2554 3. panta 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b w:val="1"/>
          <w:rtl w:val="0"/>
        </w:rPr>
        <w:t xml:space="preserve">Eiropas Savienības mātes finanšu pārvaldītājsabiedrība</w:t>
      </w:r>
      <w:r w:rsidR="00000000" w:rsidRPr="00000000" w:rsidDel="00000000">
        <w:rPr>
          <w:rtl w:val="0"/>
        </w:rPr>
        <w:t xml:space="preserve"> – Eiropas Savienības mātes finanšu pārvaldītājsabiedrība Regulas Nr. 575/2013 4. panta 1. punkta 31.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b w:val="1"/>
          <w:rtl w:val="0"/>
        </w:rPr>
        <w:t xml:space="preserve">Eiropas Savienības mātes jaukta finanšu pārvaldītājsabiedrība</w:t>
      </w:r>
      <w:r w:rsidR="00000000" w:rsidRPr="00000000" w:rsidDel="00000000">
        <w:rPr>
          <w:rtl w:val="0"/>
        </w:rPr>
        <w:t xml:space="preserve"> – Eiropas Savienības mātes jaukta finanšu pārvaldītājsabiedrība Regulas Nr. 575/2013 4. panta 1. punkta 33.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b w:val="1"/>
          <w:rtl w:val="0"/>
        </w:rPr>
        <w:t xml:space="preserve">elektroniskās naudas iestāde</w:t>
      </w:r>
      <w:r w:rsidR="00000000" w:rsidRPr="00000000" w:rsidDel="00000000">
        <w:rPr>
          <w:rtl w:val="0"/>
        </w:rPr>
        <w:t xml:space="preserve"> – elektroniskās naudas iestāde Maksājumu pakalpojumu un elektroniskās naudas likuma 1. panta 2.</w:t>
      </w:r>
      <w:r w:rsidR="00000000" w:rsidRPr="00000000" w:rsidDel="00000000">
        <w:rPr>
          <w:vertAlign w:val="superscript"/>
          <w:rtl w:val="0"/>
        </w:rPr>
        <w:t xml:space="preserve">1</w:t>
      </w:r>
      <w:r w:rsidR="00000000" w:rsidRPr="00000000" w:rsidDel="00000000">
        <w:rPr>
          <w:rtl w:val="0"/>
        </w:rPr>
        <w:t xml:space="preserve">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b w:val="1"/>
          <w:rtl w:val="0"/>
        </w:rPr>
        <w:t xml:space="preserve">finanšu pārvaldītājsabiedrība</w:t>
      </w:r>
      <w:r w:rsidR="00000000" w:rsidRPr="00000000" w:rsidDel="00000000">
        <w:rPr>
          <w:rtl w:val="0"/>
        </w:rPr>
        <w:t xml:space="preserve"> – finanšu pārvaldītājsabiedrība Regulas Nr. 575/2013 4. panta 1. punkta 20.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b w:val="1"/>
          <w:rtl w:val="0"/>
        </w:rPr>
        <w:t xml:space="preserve">finanšu vienība</w:t>
      </w:r>
      <w:r w:rsidR="00000000" w:rsidRPr="00000000" w:rsidDel="00000000">
        <w:rPr>
          <w:rtl w:val="0"/>
        </w:rPr>
        <w:t xml:space="preserve"> – šā likuma 4. un 5. pantā minētie finanšu tirgus dalībnieki;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b w:val="1"/>
          <w:rtl w:val="0"/>
        </w:rPr>
        <w:t xml:space="preserve">ieguldījumu brokeru sabiedrība </w:t>
      </w:r>
      <w:r w:rsidR="00000000" w:rsidRPr="00000000" w:rsidDel="00000000">
        <w:rPr>
          <w:rtl w:val="0"/>
        </w:rPr>
        <w:t xml:space="preserve">– ieguldījumu brokeru sabiedrība Ieguldījumu brokeru sabiedrību likuma 1. panta pirmās daļas 6.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b w:val="1"/>
          <w:rtl w:val="0"/>
        </w:rPr>
        <w:t xml:space="preserve">ieguldījumu pārvaldes sabiedrība</w:t>
      </w:r>
      <w:r w:rsidR="00000000" w:rsidRPr="00000000" w:rsidDel="00000000">
        <w:rPr>
          <w:rtl w:val="0"/>
        </w:rPr>
        <w:t xml:space="preserve"> – ieguldījumu pārvaldes sabiedrība Ieguldījumu pārvaldes sabiedrību likuma 1. panta pirmās daļas 41.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b w:val="1"/>
          <w:rtl w:val="0"/>
        </w:rPr>
        <w:t xml:space="preserve">IKT koncentrācijas risks</w:t>
      </w:r>
      <w:r w:rsidR="00000000" w:rsidRPr="00000000" w:rsidDel="00000000">
        <w:rPr>
          <w:rtl w:val="0"/>
        </w:rPr>
        <w:t xml:space="preserve"> – IKT koncentrācijas risks Regulas Nr. 2022/2554 3. panta 29.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b w:val="1"/>
          <w:rtl w:val="0"/>
        </w:rPr>
        <w:t xml:space="preserve">IKT risks</w:t>
      </w:r>
      <w:r w:rsidR="00000000" w:rsidRPr="00000000" w:rsidDel="00000000">
        <w:rPr>
          <w:rtl w:val="0"/>
        </w:rPr>
        <w:t xml:space="preserve"> – IKT risks Regulas Nr. 2022/2554 3. panta 5.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b w:val="1"/>
          <w:rtl w:val="0"/>
        </w:rPr>
        <w:t xml:space="preserve">importētājs</w:t>
      </w:r>
      <w:r w:rsidR="00000000" w:rsidRPr="00000000" w:rsidDel="00000000">
        <w:rPr>
          <w:rtl w:val="0"/>
        </w:rPr>
        <w:t xml:space="preserve"> – importētājs Eiropas Parlamenta un Padomes 2024. gada 13. jūnija regulas (ES) 2024/1689, ar ko nosaka saskaņotas normas mākslīgā intelekta jomā un groza regulas (EK) Nr. 300/2008, (ES) Nr. 167/2013, (ES) Nr. 168/2013, (ES) 2018/858, (ES) 2018/1139 un (ES) 2019/2144 un direktīvas 2014/90/ES, (ES) 2016/797 un (ES) 2020/1828 (turpmāk – Regula Nr. 2024/1689), 3. panta 6.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b w:val="1"/>
          <w:rtl w:val="0"/>
        </w:rPr>
        <w:t xml:space="preserve">informācijas un komunikācijas tehnoloģijas</w:t>
      </w:r>
      <w:r w:rsidR="00000000" w:rsidRPr="00000000" w:rsidDel="00000000">
        <w:rPr>
          <w:rtl w:val="0"/>
        </w:rPr>
        <w:t xml:space="preserve"> – informācijas un komunikācijas tehnoloģijas Nacionālās kiberdrošības likuma 1. panta 7.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b w:val="1"/>
          <w:rtl w:val="0"/>
        </w:rPr>
        <w:t xml:space="preserve">izplatītājs</w:t>
      </w:r>
      <w:r w:rsidR="00000000" w:rsidRPr="00000000" w:rsidDel="00000000">
        <w:rPr>
          <w:rtl w:val="0"/>
        </w:rPr>
        <w:t xml:space="preserve"> – izplatītājs Regulas Nr. 2024/1689 3. panta 7.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b w:val="1"/>
          <w:rtl w:val="0"/>
        </w:rPr>
        <w:t xml:space="preserve">jaukta finanšu pārvaldītājsabiedrība</w:t>
      </w:r>
      <w:r w:rsidR="00000000" w:rsidRPr="00000000" w:rsidDel="00000000">
        <w:rPr>
          <w:rtl w:val="0"/>
        </w:rPr>
        <w:t xml:space="preserve"> – jaukta finanšu pārvaldītājsabiedrība Finanšu konglomerātu likuma 1. panta 9.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b w:val="1"/>
          <w:rtl w:val="0"/>
        </w:rPr>
        <w:t xml:space="preserve">jaunuzņēmums</w:t>
      </w:r>
      <w:r w:rsidR="00000000" w:rsidRPr="00000000" w:rsidDel="00000000">
        <w:rPr>
          <w:rtl w:val="0"/>
        </w:rPr>
        <w:t xml:space="preserve"> – jaunuzņēmums Jaunuzņēmumu darbības atbalsta likuma 1. panta 5.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b w:val="1"/>
          <w:rtl w:val="0"/>
        </w:rPr>
        <w:t xml:space="preserve">kiberdraudi</w:t>
      </w:r>
      <w:r w:rsidR="00000000" w:rsidRPr="00000000" w:rsidDel="00000000">
        <w:rPr>
          <w:rtl w:val="0"/>
        </w:rPr>
        <w:t xml:space="preserve"> – kiberdraudi Eiropas Parlamenta un Padomes 2019. gada 17. aprīļa regulas (ES) 2019/881 par ENISA (Eiropas Savienības Kiberdrošības aģentūra) un par informācijas un komunikācijas tehnoloģiju kiberdrošības sertifikāciju, un ar ko atceļ regulu (ES) Nr. 526/2013 (Kiberdrošības akts), 2. panta 8.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b w:val="1"/>
          <w:rtl w:val="0"/>
        </w:rPr>
        <w:t xml:space="preserve">konta informācijas pakalpojumu sniedzējs</w:t>
      </w:r>
      <w:r w:rsidR="00000000" w:rsidRPr="00000000" w:rsidDel="00000000">
        <w:rPr>
          <w:rtl w:val="0"/>
        </w:rPr>
        <w:t xml:space="preserve"> – maksājumu pakalpojumu sniedzējs, kas sniedz konta informācijas pakalpojumu Maksājumu pakalpojumu un elektroniskās naudas likuma 1. panta 1. punkta "i"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b w:val="1"/>
          <w:rtl w:val="0"/>
        </w:rPr>
        <w:t xml:space="preserve">kolektīvās finansēšanas pakalpojumu sniedzējs</w:t>
      </w:r>
      <w:r w:rsidR="00000000" w:rsidRPr="00000000" w:rsidDel="00000000">
        <w:rPr>
          <w:rtl w:val="0"/>
        </w:rPr>
        <w:t xml:space="preserve"> – kolektīvās finansēšanas pakalpojumu sniedzējs Eiropas Parlamenta un Padomes 2020. gada 7. oktobra regulas (ES) 2020/1503 par Eiropas kolektīvās finansēšanas pakalpojumu sniedzējiem uzņēmējdarbībai un ar ko groza regulu (ES) 2017/1129 un direktīvu (ES) 2019/1937, 2. panta 1. punkta "e"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b w:val="1"/>
          <w:rtl w:val="0"/>
        </w:rPr>
        <w:t xml:space="preserve">krājaizdevu sabiedrība</w:t>
      </w:r>
      <w:r w:rsidR="00000000" w:rsidRPr="00000000" w:rsidDel="00000000">
        <w:rPr>
          <w:rtl w:val="0"/>
        </w:rPr>
        <w:t xml:space="preserve"> – krājaizdevu sabiedrība Krājaizdevu sabiedrību likuma 2. panta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b w:val="1"/>
          <w:rtl w:val="0"/>
        </w:rPr>
        <w:t xml:space="preserve">kredītiestāde</w:t>
      </w:r>
      <w:r w:rsidR="00000000" w:rsidRPr="00000000" w:rsidDel="00000000">
        <w:rPr>
          <w:rtl w:val="0"/>
        </w:rPr>
        <w:t xml:space="preserve"> – kredītiestāde Regulas Nr. 575/2013 4. panta 1. punkta 1.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b w:val="1"/>
          <w:rtl w:val="0"/>
        </w:rPr>
        <w:t xml:space="preserve">kredītreitingu aģentūra</w:t>
      </w:r>
      <w:r w:rsidR="00000000" w:rsidRPr="00000000" w:rsidDel="00000000">
        <w:rPr>
          <w:rtl w:val="0"/>
        </w:rPr>
        <w:t xml:space="preserve"> – kredītreitingu aģentūra Eiropas Parlamenta un Padomes 2009. gada 16. septembra regulas (ES) 1060/2009 par kredītreitingu aģentūrām 3. panta 1. punkta "b"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b w:val="1"/>
          <w:rtl w:val="0"/>
        </w:rPr>
        <w:t xml:space="preserve">kriptoaktīvu pakalpojumu sniedzējs</w:t>
      </w:r>
      <w:r w:rsidR="00000000" w:rsidRPr="00000000" w:rsidDel="00000000">
        <w:rPr>
          <w:rtl w:val="0"/>
        </w:rPr>
        <w:t xml:space="preserve"> – kriptoaktīvu pakalpojumu sniedzējs Regulas Nr. 2023/1114 3. panta 1. punkta 15.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b w:val="1"/>
          <w:rtl w:val="0"/>
        </w:rPr>
        <w:t xml:space="preserve">kritiski svarīga vai svarīga funkcija</w:t>
      </w:r>
      <w:r w:rsidR="00000000" w:rsidRPr="00000000" w:rsidDel="00000000">
        <w:rPr>
          <w:rtl w:val="0"/>
        </w:rPr>
        <w:t xml:space="preserve"> – kritiski svarīga vai svarīga funkcija Regulas Nr. 2022/2554 3. panta 22.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b w:val="1"/>
          <w:rtl w:val="0"/>
        </w:rPr>
        <w:t xml:space="preserve">kritiski svarīgu etalonu administrators</w:t>
      </w:r>
      <w:r w:rsidR="00000000" w:rsidRPr="00000000" w:rsidDel="00000000">
        <w:rPr>
          <w:rtl w:val="0"/>
        </w:rPr>
        <w:t xml:space="preserve"> – kritiski svarīgu etalonu administrators Eiropas Parlamenta un Padomes 2016. gada 8. jūnija regulas (ES) 2016/1011 par indeksiem, ko izmanto kā etalonus finanšu instrumentos un finanšu līgumos vai ieguldījumu fondu darbības rezultātu mērīšanai, un ar kuru groza direktīvu 2008/48/EK, direktīvu 2014/17/ES un regulu (ES) Nr. 596/2014, 3. panta 1. punkta 6. un 25.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b w:val="1"/>
          <w:rtl w:val="0"/>
        </w:rPr>
        <w:t xml:space="preserve">maksājumu iestāde</w:t>
      </w:r>
      <w:r w:rsidR="00000000" w:rsidRPr="00000000" w:rsidDel="00000000">
        <w:rPr>
          <w:rtl w:val="0"/>
        </w:rPr>
        <w:t xml:space="preserve"> – maksājumu iestāde Maksājumu pakalpojumu un elektroniskās naudas likuma 1. panta 2.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b w:val="1"/>
          <w:rtl w:val="0"/>
        </w:rPr>
        <w:t xml:space="preserve">mazais uzņēmums</w:t>
      </w:r>
      <w:r w:rsidR="00000000" w:rsidRPr="00000000" w:rsidDel="00000000">
        <w:rPr>
          <w:rtl w:val="0"/>
        </w:rPr>
        <w:t xml:space="preserve"> – mazais uzņēmums Regulas Nr. 2022/2554 3. panta 63.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b w:val="1"/>
          <w:rtl w:val="0"/>
        </w:rPr>
        <w:t xml:space="preserve">mikrouzņēmums</w:t>
      </w:r>
      <w:r w:rsidR="00000000" w:rsidRPr="00000000" w:rsidDel="00000000">
        <w:rPr>
          <w:rtl w:val="0"/>
        </w:rPr>
        <w:t xml:space="preserve"> – mikrouzņēmums Regulas Nr. 2022/2554 3. panta 60.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b w:val="1"/>
          <w:rtl w:val="0"/>
        </w:rPr>
        <w:t xml:space="preserve">MI sistēma</w:t>
      </w:r>
      <w:r w:rsidR="00000000" w:rsidRPr="00000000" w:rsidDel="00000000">
        <w:rPr>
          <w:rtl w:val="0"/>
        </w:rPr>
        <w:t xml:space="preserve"> – MI sistēma Regulas Nr. 2024/1689 3. panta 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b w:val="1"/>
          <w:rtl w:val="0"/>
        </w:rPr>
        <w:t xml:space="preserve">neliels privātais pensiju fonds</w:t>
      </w:r>
      <w:r w:rsidR="00000000" w:rsidRPr="00000000" w:rsidDel="00000000">
        <w:rPr>
          <w:rtl w:val="0"/>
        </w:rPr>
        <w:t xml:space="preserve"> – neliela arodpensijas kapitāla uzkrāšanas institūcija Regulas Nr. 2022/2554 3. panta 53.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b w:val="1"/>
          <w:rtl w:val="0"/>
        </w:rPr>
        <w:t xml:space="preserve">neliela un savstarpēji nesaistīta ieguldījumu brokeru sabiedrība</w:t>
      </w:r>
      <w:r w:rsidR="00000000" w:rsidRPr="00000000" w:rsidDel="00000000">
        <w:rPr>
          <w:rtl w:val="0"/>
        </w:rPr>
        <w:t xml:space="preserve"> – neliela un savstarpēji nesaistīta ieguldījumu brokeru sabiedrība Eiropas Parlamenta un Padomes 2019. gada 27. novembra regulas (ES) 2019/2033 par prudenciālajām prasībām ieguldījumu brokeru sabiedrībām un ar ko groza regulas (ES) Nr. 1093/2010, (ES) Nr. 575/2013, (ES) Nr. 600/2014 un (ES) Nr. 806/2014, 12. panta 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b w:val="1"/>
          <w:rtl w:val="0"/>
        </w:rPr>
        <w:t xml:space="preserve">nodrošinātājs</w:t>
      </w:r>
      <w:r w:rsidR="00000000" w:rsidRPr="00000000" w:rsidDel="00000000">
        <w:rPr>
          <w:rtl w:val="0"/>
        </w:rPr>
        <w:t xml:space="preserve"> – nodrošinātājs Regulas Nr. 2024/1689 3. panta 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b w:val="1"/>
          <w:rtl w:val="0"/>
        </w:rPr>
        <w:t xml:space="preserve">paziņotā struktūra</w:t>
      </w:r>
      <w:r w:rsidR="00000000" w:rsidRPr="00000000" w:rsidDel="00000000">
        <w:rPr>
          <w:rtl w:val="0"/>
        </w:rPr>
        <w:t xml:space="preserve"> – paziņotā struktūra Regulas Nr. 2024/1689 3. panta 22.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b w:val="1"/>
          <w:rtl w:val="0"/>
        </w:rPr>
        <w:t xml:space="preserve">pārapdrošināšanas sabiedrība</w:t>
      </w:r>
      <w:r w:rsidR="00000000" w:rsidRPr="00000000" w:rsidDel="00000000">
        <w:rPr>
          <w:rtl w:val="0"/>
        </w:rPr>
        <w:t xml:space="preserve"> – pārapdrošināšanas sabiedrība Apdrošināšanas un pārapdrošināšanas likuma 1. panta pirmās daļas 6.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b w:val="1"/>
          <w:rtl w:val="0"/>
        </w:rPr>
        <w:t xml:space="preserve">pārapdrošināšanas starpnieks</w:t>
      </w:r>
      <w:r w:rsidR="00000000" w:rsidRPr="00000000" w:rsidDel="00000000">
        <w:rPr>
          <w:rtl w:val="0"/>
        </w:rPr>
        <w:t xml:space="preserve"> – pārapdrošināšanas starpnieks Apdrošināšanas un pārapdrošināšanas izplatīšanas likuma 1. panta pirmās daļas 23.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b w:val="1"/>
          <w:rtl w:val="0"/>
        </w:rPr>
        <w:t xml:space="preserve">pensiju plāna dalībnieks</w:t>
      </w:r>
      <w:r w:rsidR="00000000" w:rsidRPr="00000000" w:rsidDel="00000000">
        <w:rPr>
          <w:rtl w:val="0"/>
        </w:rPr>
        <w:t xml:space="preserve"> – pensiju plāna dalībnieks Privāto pensiju fondu likuma 1. panta pirmās daļas 21.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b w:val="1"/>
          <w:rtl w:val="0"/>
        </w:rPr>
        <w:t xml:space="preserve">pensiju plāns</w:t>
      </w:r>
      <w:r w:rsidR="00000000" w:rsidRPr="00000000" w:rsidDel="00000000">
        <w:rPr>
          <w:rtl w:val="0"/>
        </w:rPr>
        <w:t xml:space="preserve"> – pensiju plāns Privāto pensiju fondu likuma 1. panta pirmās daļas 23.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b w:val="1"/>
          <w:rtl w:val="0"/>
        </w:rPr>
        <w:t xml:space="preserve">pilnvarotais pārstāvis</w:t>
      </w:r>
      <w:r w:rsidR="00000000" w:rsidRPr="00000000" w:rsidDel="00000000">
        <w:rPr>
          <w:rtl w:val="0"/>
        </w:rPr>
        <w:t xml:space="preserve"> – pilnvarotais pārstāvis Regulas Nr. 2024/1689 3. panta 5.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b w:val="1"/>
          <w:rtl w:val="0"/>
        </w:rPr>
        <w:t xml:space="preserve">privātais pensiju fonds</w:t>
      </w:r>
      <w:r w:rsidR="00000000" w:rsidRPr="00000000" w:rsidDel="00000000">
        <w:rPr>
          <w:rtl w:val="0"/>
        </w:rPr>
        <w:t xml:space="preserve"> – privātais pensiju fonds Privāto pensiju fondu likuma 1. panta pirmās daļas 25.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b w:val="1"/>
          <w:rtl w:val="0"/>
        </w:rPr>
        <w:t xml:space="preserve">tirdzniecības vieta</w:t>
      </w:r>
      <w:r w:rsidR="00000000" w:rsidRPr="00000000" w:rsidDel="00000000">
        <w:rPr>
          <w:rtl w:val="0"/>
        </w:rPr>
        <w:t xml:space="preserve"> – tirdzniecības vieta Finanšu instrumentu tirgus likuma 1. panta pirmās daļas 77.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b w:val="1"/>
          <w:rtl w:val="0"/>
        </w:rPr>
        <w:t xml:space="preserve">tīklu un informācijas sistēma</w:t>
      </w:r>
      <w:r w:rsidR="00000000" w:rsidRPr="00000000" w:rsidDel="00000000">
        <w:rPr>
          <w:rtl w:val="0"/>
        </w:rPr>
        <w:t xml:space="preserve"> – tīklu un informācijas sistēma Nacionālās kiberdrošības likuma 1. panta 22.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b w:val="1"/>
          <w:rtl w:val="0"/>
        </w:rPr>
        <w:t xml:space="preserve">trešā persona, kas sniedz IKT pakalpojumus,</w:t>
      </w:r>
      <w:r w:rsidR="00000000" w:rsidRPr="00000000" w:rsidDel="00000000">
        <w:rPr>
          <w:rtl w:val="0"/>
        </w:rPr>
        <w:t xml:space="preserve"> – trešā persona, kas sniedz IKT pakalpojumus, Regulas Nr. 2022/2554 3. panta 19.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b w:val="1"/>
          <w:rtl w:val="0"/>
        </w:rPr>
        <w:t xml:space="preserve">uzturētājs</w:t>
      </w:r>
      <w:r w:rsidR="00000000" w:rsidRPr="00000000" w:rsidDel="00000000">
        <w:rPr>
          <w:rtl w:val="0"/>
        </w:rPr>
        <w:t xml:space="preserve"> – uzturētājs Regulas Nr. 2024/1689 3. panta 4.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b w:val="1"/>
          <w:rtl w:val="0"/>
        </w:rPr>
        <w:t xml:space="preserve">vērtspapīrošanas repozitorijs –</w:t>
      </w:r>
      <w:r w:rsidR="00000000" w:rsidRPr="00000000" w:rsidDel="00000000">
        <w:rPr>
          <w:rtl w:val="0"/>
        </w:rPr>
        <w:t xml:space="preserve"> vērtspapīrošanas repozitorijs Eiropas Parlamenta un Padomes 2017. gada 12. decembra regulas (ES) 2017/2402, ar ko nosaka vispārēju regulējumu vērtspapīrošanai un izveido īpašu satvaru attiecībā uz vienkāršu, pārredzamu un standartizētu vērtspapīrošanu, un groza direktīvas 2009/65/EK, 2009/138/EK un 2011/61/ES un regulas (EK) Nr. 1060/2009 un (ES) Nr. 648/2012, 2. panta 23. 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b w:val="1"/>
          <w:rtl w:val="0"/>
        </w:rPr>
        <w:t xml:space="preserve">vidējais uzņēmums</w:t>
      </w:r>
      <w:r w:rsidR="00000000" w:rsidRPr="00000000" w:rsidDel="00000000">
        <w:rPr>
          <w:rtl w:val="0"/>
        </w:rPr>
        <w:t xml:space="preserve"> – vidējais uzņēmums Regulas Nr. 2022/2554 3. panta 64. punkta izpratnē.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radīt tiesiskus priekšnoteikumus digitālās darbības noturībai un mākslīgā intelekta izmantošanai finanšu tirgū.</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Likums nosaka digitālās darbības noturības un mākslīgā intelekta izmantošanas prasību piemērošanu finanšu tirgū.</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Digitālās darbības noturības un mākslīgā intelekta izmantošanas prasību piemērošana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Finanšu vienības, kurām piemēro digitālās darbības noturības prasības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Digitālās darbības noturības prasības, ievērojot Regulas Nr. 2022/2554 2. panta 1. punktu, piemēro šādām finanšu vienībām: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alternatīvo ieguldījumu fonda pārvaldniekam;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aktīviem piesaistītu žetonu emitentam;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apdrošināšanas papildpakalpojuma starpniekam;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apdrošināšanas sabiedrībai;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apdrošināšanas starpniekam;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centrālajam darījumu partnerim;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centrālajam vērtspapīru depozitārijam;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darījumu reģistram;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 ziņošanas pakalpojumu sniedzējam;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elektroniskās naudas iestādei;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ieguldījumu brokeru sabiedrībai;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ieguldījumu pārvaldes sabiedrībai;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kolektīvās finansēšanas pakalpojumu sniedzējam;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konta informācijas pakalpojumu sniedzējam;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kredītiestādei;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kredītreitingu aģentūrai;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kriptoaktīvu pakalpojumu sniedzējam;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kritiski svarīgu etalonu administratoram;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maksājumu iestādei;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pārapdrošināšanas sabiedrībai;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pārapdrošināšanas starpniekam;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privātajam pensiju fondam;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tirdzniecības vietai;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vērtspapīrošanas repozitorijam.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Finanšu vienības, kurām piemēro vienkāršotas digitālās darbības noturības prasības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Vienkāršotas digitālās darbības noturības prasības, ievērojot Regulas Nr. 2022/2554 16. panta 1. un 2. punktu, piemēro šādām finanšu vienībām: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elektroniskās naudas iestādei Maksājumu pakalpojumu un elektroniskās naudas likuma 1. panta 2.</w:t>
      </w:r>
      <w:r w:rsidR="00000000" w:rsidRPr="00000000" w:rsidDel="00000000">
        <w:rPr>
          <w:vertAlign w:val="superscript"/>
          <w:rtl w:val="0"/>
        </w:rPr>
        <w:t xml:space="preserve">1</w:t>
      </w:r>
      <w:r w:rsidR="00000000" w:rsidRPr="00000000" w:rsidDel="00000000">
        <w:rPr>
          <w:rtl w:val="0"/>
        </w:rPr>
        <w:t xml:space="preserve"> punkta "b" apakšpunkta izpratnē;</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pārvaldītājsabiedrībai, jauktai finanšu pārvaldītājsabiedrībai, dalībvalsts mātes finanšu pārvaldītājsabiedrībai, Eiropas Savienības mātes finanšu pārvaldītājsabiedrībai, dalībvalsts mātes jauktai finanšu pārvaldītājsabiedrībai, Eiropas Savienības mātes jauktai finanšu pārvaldītājsabiedrībai;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iestādei Maksājumu pakalpojumu un elektroniskās naudas likuma 1. panta 2. punkta "b" apakšpunkta izpratnē;</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nelielai un savstarpēji nesaistītai ieguldījumu brokeru sabiedrībai;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nelielam privātajam pensiju fondam.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Finanšu tirgus dalībnieki, kuriem nepiemēro digitālās darbības noturības prasības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Digitālās darbības noturības prasības, ievērojot Regulas Nr. 2022/2554 2. panta 3. un 4. punktu, nepiemēro šādiem finanšu tirgus dalībniekiem: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alternatīvo ieguldījumu fonda pārvaldniekam, ja tā pārvaldē esošo alternatīvo ieguldījumu fondu darbība un aktīvu apmērs atbilst vismaz vienam no šādiem nosacījumiem:</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alternatīvo ieguldījumu fondu pārvaldnieks pats vai kopīgi ar tādas komercsabiedrības starpniecību, kurai tas ir deleģējis pārvaldes pakalpojumu vai ar kuru tam ir ciešas attiecības, vai kurā tam ir būtiska līdzdalība, pārvalda alternatīvo ieguldījumu fondu aktīvus (tai skaitā aktīvus, kas iegūti, izmantojot sviras finansējumu), kuru kopsumma nesasniedz 100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alternatīvo ieguldījumu fondu pārvaldnieks pats vai kopīgi ar tādas komercsabiedrības starpniecību, kurai tas ir deleģējis pārvaldes pakalpojumu vai ar kuru tam ir ciešas attiecības, vai kurā tam ir būtiska līdzdalība, pārvalda alternatīvo ieguldījumu fondu aktīvus, kuru kopsumma nesasniedz 500 miljonus </w:t>
      </w:r>
      <w:r w:rsidR="00000000" w:rsidRPr="00000000" w:rsidDel="00000000">
        <w:rPr>
          <w:i w:val="1"/>
          <w:rtl w:val="0"/>
        </w:rPr>
        <w:t xml:space="preserve">euro</w:t>
      </w:r>
      <w:r w:rsidR="00000000" w:rsidRPr="00000000" w:rsidDel="00000000">
        <w:rPr>
          <w:rtl w:val="0"/>
        </w:rPr>
        <w:t xml:space="preserve">, ar nosacījumu, ka neviena alternatīvo ieguldījumu fonda darbības noteikumi neparedz izmantot sviras finansējumu un ieguldījumu daļu atpakaļpirkšanu piecu gadu laikā no dienas, kad veikts pirmais ieguldījums alternatīvo ieguldījumu fondā;</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apdrošināšanas sabiedrībai un pārapdrošināšanas sabiedrībai, kura ievēro šādus nosacījumus:</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gada bruto ieņēmumi no parakstītajām prēmijām nepārsniedz 5,4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bruto tehnisko rezervju kopapjoms atbilstoši Apdrošināšanas un pārapdrošināšanas likuma 98. panta pirmajai un otrajai daļai, neatskaitot summas, kas atgūstamas no pārapdrošināšanas līgumiem un īpašam nolūkam dibinātajām sabiedrībām, nepārsniedz 26,6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koncerna sabiedrībai koncerna bruto tehnisko rezervju kopapjoms, neatskaitot summas, kas atgūstamas no pārapdrošināšanas līgumiem un īpašam nolūkam dibinātajām sabiedrībām, nepārsniedz 26,6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apdrošināšanas vai pārapdrošināšanas pakalpojumi neietver atbildības, kredītu un galvojumu apdrošināšanas risku, ja vien tas nav papildrisks Apdrošināšanas un pārapdrošināšanas likuma 20. panta pirmās daļas izpratnē,</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apdrošināšanas vai pārapdrošināšanas pakalpojumi neietver pārapdrošināšanas pakalpojumus, kas pārsniedz 0,6 miljonus </w:t>
      </w:r>
      <w:r w:rsidR="00000000" w:rsidRPr="00000000" w:rsidDel="00000000">
        <w:rPr>
          <w:i w:val="1"/>
          <w:rtl w:val="0"/>
        </w:rPr>
        <w:t xml:space="preserve">euro</w:t>
      </w:r>
      <w:r w:rsidR="00000000" w:rsidRPr="00000000" w:rsidDel="00000000">
        <w:rPr>
          <w:rtl w:val="0"/>
        </w:rPr>
        <w:t xml:space="preserve"> no tās parakstīto prēmiju bruto ieņēmumiem vai 2,7 miljonus </w:t>
      </w:r>
      <w:r w:rsidR="00000000" w:rsidRPr="00000000" w:rsidDel="00000000">
        <w:rPr>
          <w:i w:val="1"/>
          <w:rtl w:val="0"/>
        </w:rPr>
        <w:t xml:space="preserve">euro</w:t>
      </w:r>
      <w:r w:rsidR="00000000" w:rsidRPr="00000000" w:rsidDel="00000000">
        <w:rPr>
          <w:rtl w:val="0"/>
        </w:rPr>
        <w:t xml:space="preserve"> no bruto tehnisko rezervju kopapjoma, neatskaitot summas, kas atgūstamas no pārapdrošināšanas līgumiem un īpašam nolūkam dibinātajām sabiedrībām, vai arī vairāk par 10 % no tās parakstīto prēmiju bruto ieņēmumiem vai vairāk par 10 % no tās tehniskajām rezervēm, bruto summām un bruto tehnisko rezervju kopapjoma, neatskaitot summas, kas atgūstamas no pārapdrošināšanas līgumiem un īpašam nolūkam dibinātajām sabiedrībām,</w:t>
      </w:r>
    </w:p>
    <w:p w:rsidP="00000000" w:rsidRDefault="00000000" w:rsidR="00000000" w:rsidRPr="00000000" w:rsidDel="00000000">
      <w:pPr>
        <w:numPr>
          <w:ilvl w:val="2"/>
          <w:numId w:val="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jebkura no šā panta pirmās daļas 1. punkta "a", "b", "c" vai "e" apakšpunktā minētajām summām nav pārsniegta pēdējo triju secīgu gadu laikā un nav paredzēts tās pārsniegt nākamo piecu gadu laikā;</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apdrošināšanas starpniekam, pārapdrošināšanas starpniekam un apdrošināšanas papildpakalpojuma starpniekam, kurš ir mikrouzņēmums, mazais uzņēmums vai vidējais uzņēmums;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fiziskajām un juridiskajām personām Finanšu instrumentu tirgus likuma 101. panta septītās daļas 2., 3., 4., 6., 7., 9., 12., 13., 15. un 16. punkta izpratnē;</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krājaizdevu sabiedrībai;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nelielam privātajam pensiju fondam, kura reģistrētajos pensiju plānos kopā nav vairāk par 15 pensiju plāna dalībniekiem;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žiro norēķinu iestādei.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šā panta pirmās daļas 2. punkta "a", "b", "c" vai "e" apakšpunktā noteiktā summa ir lielāka trīs secīgu gadu periodā, tad digitālās darbības noturības prasības piemēro apdrošināšanas sabiedrībai un pārapdrošināšanas sabiedrībai, sākot ar ceturto gadu.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Banka šā panta pirmajā daļā minētajiem finanšu tirgus dalībniekiem nosaka digitālās darbības noturības prasības.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Finanšu vienības, kurām piemēro mākslīgā intelekta izmantošanas prasības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Regulā Nr. 2024/1689 noteiktās mākslīgā intelekta izmantošanas prasības piemēro šā likuma 4. pantā un 5. panta 1., 2. un 3. punktā minētajām finanšu vienībām un krājaizdevu sabiedrībai atbilstoši Regulas Nr. 2024/1689 2. pantam.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Uzraudzība digitālās darbības noturības un mākslīgā intelekta izmantošanas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Latvijas Bankas tiesības un pienākumi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Banka veic digitālās darbības noturības prasību uzraudzību saskaņā ar Regulas Nr. 2022/2554 46. pantu.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Bankai ir Regulas Nr. 2022/2554 50. panta 2. punktā noteiktās tiesības uzraudzības īstenošanā.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Banka nosaka novērtēšanas metodiku zaudējumiem, ko radījuši būtiski ar IKT saistīti incidenti.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Banka nosaka digitālās darbības noturības prasības informācijas apmaiņai, lai ziņotu par būtisku ar IKT saistītu incidentu, un kārtību informācijas reģistra datu saņemšanai par trešajām personām, kas sniedz IKT pakalpojumus.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Banka veic mākslīgā intelekta izmantošanas prasību uzraudzību saskaņā ar Regulas Nr. 2024/1689 74. panta 6. punktu.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Banka sniedz Eiropas Centrālajai bankai informāciju, kas iegūta, uzraugot mākslīgā intelekta izmantošanas prasību ievērošanu un varētu būt noderīga kredītiestādes prudenciālajai uzraudzībai.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digitālās darbības noturību un mākslīgā intelekta izmantošanas drošību atbilstoši šā likuma un tieši piemērojamo Eiropas Savienības tiesību aktu prasībām, Latvijas Bankai ir tiesības papildus noteikt citas digitālās darbības noturību vai mākslīgā intelekta izmantošanu regulējošas prasības un šo prasību izpildes kārtību jomās, kuras netiek regulētas ar tieši piemērojamiem Eiropas Savienības tiesību aktiem, kā arī noteikt prasības, ievērojot Eiropas Banku iestādes, Eiropas Apdrošināšanas un aroda pensiju iestādes vai Eiropas Vērtspapīru un tirgu iestādes pieņemtos lēmums, pamatnostādnes un ieteikumus vai kārtību šo prasību izpildei.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Finanšu vienības pienākums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nodrošinātu Regulas Nr. 2022/2554 prasību izpildi, finanšu vienība informē Latvijas Banku par visām būtiskām izmaiņām, tai skaitā par visiem apstākļiem, kuri var negatīvi ietekmēt finanšu vienības turpmāko darbību, vai izmaiņām informācijā, ko tā sniegusi Latvijas Bankai.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Atbildība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Sankcijas un administratīvie pasākumi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Banka par Regulas Nr. 2022/2554 prasību neievērošanu par pārkāpumu atbildīgajai personai ir tiesīga piemērot šādas sankcijas: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brīdinājumu;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naudu fiziskajai personai līdz 700 000 </w:t>
      </w:r>
      <w:r w:rsidR="00000000" w:rsidRPr="00000000" w:rsidDel="00000000">
        <w:rPr>
          <w:i w:val="1"/>
          <w:rtl w:val="0"/>
        </w:rPr>
        <w:t xml:space="preserve">euro</w:t>
      </w:r>
      <w:r w:rsidR="00000000" w:rsidRPr="00000000" w:rsidDel="00000000">
        <w:rPr>
          <w:rtl w:val="0"/>
        </w:rPr>
        <w:t xml:space="preserve">, juridiskajai personai – līdz pieciem miljoniem </w:t>
      </w:r>
      <w:r w:rsidR="00000000" w:rsidRPr="00000000" w:rsidDel="00000000">
        <w:rPr>
          <w:i w:val="1"/>
          <w:rtl w:val="0"/>
        </w:rPr>
        <w:t xml:space="preserve">euro </w:t>
      </w:r>
      <w:r w:rsidR="00000000" w:rsidRPr="00000000" w:rsidDel="00000000">
        <w:rPr>
          <w:rtl w:val="0"/>
        </w:rPr>
        <w:t xml:space="preserve">vai līdz trim procentiem no kopējā gada apgrozījuma atkarībā no tā, kurš lielāks, par šā likuma 11. panta pirmajā daļā minētajiem pārkāpumiem.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Bankai ir Regulas Nr. 2022/2554 50. panta 2. punktā noteiktās tiesības uz izmeklēšanu, sankciju un administratīvo pasākumu piemērošanu.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Banka par Regulas Nr. 2024/1689 prasību neievērošanu par pārkāpumu atbildīgajai personai ir tiesīga piemērot šādas sankcijas: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brīdinājumu;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soda naudu fiziskajai personai līdz 35 miljoniem </w:t>
      </w:r>
      <w:r w:rsidR="00000000" w:rsidRPr="00000000" w:rsidDel="00000000">
        <w:rPr>
          <w:i w:val="1"/>
          <w:rtl w:val="0"/>
        </w:rPr>
        <w:t xml:space="preserve">euro</w:t>
      </w:r>
      <w:r w:rsidR="00000000" w:rsidRPr="00000000" w:rsidDel="00000000">
        <w:rPr>
          <w:rtl w:val="0"/>
        </w:rPr>
        <w:t xml:space="preserve"> par šā likuma 11. panta otrās daļas 1. punktā minēto pārkāpumu;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soda naudu fiziskajai personai līdz 15 miljoniem </w:t>
      </w:r>
      <w:r w:rsidR="00000000" w:rsidRPr="00000000" w:rsidDel="00000000">
        <w:rPr>
          <w:i w:val="1"/>
          <w:rtl w:val="0"/>
        </w:rPr>
        <w:t xml:space="preserve">euro</w:t>
      </w:r>
      <w:r w:rsidR="00000000" w:rsidRPr="00000000" w:rsidDel="00000000">
        <w:rPr>
          <w:rtl w:val="0"/>
        </w:rPr>
        <w:t xml:space="preserve"> par šā likuma 11. panta otrās daļas 2., 3., 4., 5., 6., 7., 8., 9. un 10. punktā minētajiem pārkāpumiem;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soda naudu fiziskajai personai līdz 7,5 miljoniem </w:t>
      </w:r>
      <w:r w:rsidR="00000000" w:rsidRPr="00000000" w:rsidDel="00000000">
        <w:rPr>
          <w:i w:val="1"/>
          <w:rtl w:val="0"/>
        </w:rPr>
        <w:t xml:space="preserve">euro</w:t>
      </w:r>
      <w:r w:rsidR="00000000" w:rsidRPr="00000000" w:rsidDel="00000000">
        <w:rPr>
          <w:rtl w:val="0"/>
        </w:rPr>
        <w:t xml:space="preserve"> par šā likuma 11. panta otrās daļas 11. punktā minēto pārkāpumu;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soda naudu juridiskajai personai līdz 35 miljoniem </w:t>
      </w:r>
      <w:r w:rsidR="00000000" w:rsidRPr="00000000" w:rsidDel="00000000">
        <w:rPr>
          <w:i w:val="1"/>
          <w:rtl w:val="0"/>
        </w:rPr>
        <w:t xml:space="preserve">euro</w:t>
      </w:r>
      <w:r w:rsidR="00000000" w:rsidRPr="00000000" w:rsidDel="00000000">
        <w:rPr>
          <w:rtl w:val="0"/>
        </w:rPr>
        <w:t xml:space="preserve"> vai līdz septiņiem procentiem no kopējā gada apgrozījuma atkarībā no tā, kurš lielāks, par 11. panta otrās daļas 1. punktā minēto pārkāpumu;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soda naudu juridiskajai personai līdz 15 miljoniem </w:t>
      </w:r>
      <w:r w:rsidR="00000000" w:rsidRPr="00000000" w:rsidDel="00000000">
        <w:rPr>
          <w:i w:val="1"/>
          <w:rtl w:val="0"/>
        </w:rPr>
        <w:t xml:space="preserve">euro</w:t>
      </w:r>
      <w:r w:rsidR="00000000" w:rsidRPr="00000000" w:rsidDel="00000000">
        <w:rPr>
          <w:rtl w:val="0"/>
        </w:rPr>
        <w:t xml:space="preserve"> vai līdz trim procentiem no kopējā gada apgrozījuma atkarībā no tā, kurš lielāks, par šā likuma 11. panta otrās daļas 2., 3., 4., 5., 6., 7., 8., 9. un 10. punktā minētajiem pārkāpumiem;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soda naudu  juridiskajai personai līdz 7,5 miljoniem </w:t>
      </w:r>
      <w:r w:rsidR="00000000" w:rsidRPr="00000000" w:rsidDel="00000000">
        <w:rPr>
          <w:i w:val="1"/>
          <w:rtl w:val="0"/>
        </w:rPr>
        <w:t xml:space="preserve">euro</w:t>
      </w:r>
      <w:r w:rsidR="00000000" w:rsidRPr="00000000" w:rsidDel="00000000">
        <w:rPr>
          <w:rtl w:val="0"/>
        </w:rPr>
        <w:t xml:space="preserve"> vai līdz vienam procentam no kopējā gada apgrozījuma atkarībā no tā, kurš lielāks, par šā likuma 11. panta otrās daļas 11. punktā minēto pārkāpumu.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Banka par Regulas Nr. 2022/2554 un Regulas Nr. 2024/1689 prasību neievērošanu ir tiesīga piemērot šādus administratīvos pasākumus: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lai par pārkāpumu atbildīgā fiziskā vai juridiskā persona nekavējoties izbeidz attiecīgo darbību;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pagaidu aizliegumu par pārkāpumu atbildīgajai fiziskajai personai veikt tai noteiktos pienākumus līdz pārkāpuma novēršanas brīdim vai galīgā nolēmuma spēkā stāšanās brīdim, bet ne ilgāk kā divus gadus.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panta pirmās daļas 3. punktā un otrās daļas 5., 6. un 7. punktā minētais kopējais gada apgrozījums atbilst pēdējam pieejamam juridiskās personas revidētajam gada pārskatam. Ja minētā juridiskā persona ir mātes sabiedrība vai mātes sabiedrības meitas sabiedrība, kas sagatavo konsolidētos gada pārskatus saskaņā ar Gada pārskatu un konsolidēto gada pārskatu likumu vai konsolidētos finanšu pārskatus saskaņā ar izcelsmes dalībvalsts normatīvo aktu prasībām, attiecīgo kopējo apgrozījumu veido kopējais gada apgrozījums.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šā panta trešās daļas 5., 6. un 7. punktā par pārkāpumu atbildīgā juridiskā persona ir mazais uzņēmums, vidējais uzņēmums vai jaunuzņēmums, tad tam piemēro minētajos punktos norādīto soda naudu atkarībā no tā, kurš no dotajiem lielumiem ir mazāks.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Banka ir tiesīga piemērot administratīvos pasākumus atsevišķi vai papildus sankcijām.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Šajā pantā minēto soda naudu ieskaita valsts pamatbudžetā.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Sankciju un administratīvo pasākumu piemērošana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Banka šā likuma 10. panta pirmajā daļā noteiktās sankcijas un ceturtajā daļā noteiktos administratīvos pasākumus ir tiesīga piemērot, ja fiziskā vai juridiskā persona neievēro:</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2022/2554 5. pantā noteiktās prasības par IKT riska pārvaldību un organizāciju, tai skaitā iekšējās pārvaldības un kontroles sistēmas darbības prasību nodrošināšanu un atbilstību prudenciālajai pārvaldībai;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2022/2554 6. pantā noteiktās prasības par IKT riska pārvaldības sistēmu, tai skaitā atbilstošas IKT riska pārvaldības sistēmas izveidošanu un uzturēšanu tā, lai minētās sistēmas veidotu daļu no finanšu vienību vispārējās riska pārvaldīšanas sistēmas un ļautu tām ātri, efektīvi un visaptveroši novērst IKT risku un nodrošināt augstu digitālās darbības noturības līmeni;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Regulas Nr. 2022/2554 7. pantā noteiktās prasības par finanšu vienību vajadzībām piemērotu, uzticamu, atbilstošu informācijas un komunikācijas tehnoloģiju sistēmu, protokolu un rīku izmantošanu un atjaunošanu;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Regulas Nr. 2022/2554 8. pantā noteiktās prasības par IKT riska avotu identifikāciju, tai skaitā klasifikāciju, dokumentēšanu un to regulāru pārskatīšanu;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Regulas Nr. 2022/2554 9. pantā noteiktās prasības par informācijas un komunikācijas tehnoloģiju sistēmu aizsardzību un profilaksi, tai skaitā uzraudzību un kontroli, lai mazinātu IKT riska ietekmi, kā arī informācijas un komunikācijas tehnoloģiju sistēmu noturības, nepārtrauktības un pieejamības nodrošināšanu;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Regulas Nr. 2022/2554 10. pantā noteiktās prasības par mehānismu ieviešanu, lai nekavējoties atklātu ar IKT saistītus incidentus, kā arī minēto mehānismu regulāru testēšanu;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Regulas Nr. 2022/2554 11. pantā noteiktās prasības attiecībā uz reaģēšanu un seku novēršanu, tai skaitā informācijas un komunikācijas tehnoloģiju sistēmu darbības nepārtrauktības politikas izveidi, kā arī darbības nepārtrauktības plānu nodrošināšanu un to testēšanu;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Regulas Nr. 2022/2554 12. pantā noteiktās prasības par informācijas un komunikācijas tehnoloģiju sistēmu un datu rezerves kopiju veidošanas politiku un procedūrām, to atjaunošanas un atgūšanas procedūrām un metodēm, tai skaitā rezerves informācijas un komunikācijas tehnoloģiju sistēmas nodrošināšanu, kā arī ar IKT saistītiem incidentiem nepieciešamu IKT sistēmu pārbaužu veikšanu;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Regulas Nr. 2022/2554 13. pantā noteiktās prasības par personāla mācīšanu un attīstību, tai skaitā finanšu vienības kvalificēta personāla nodrošināšanu, kas veic informācijas apkopošanu ar IKT saistītiem incidentiem un to ietekmes analizēšanu uz finanšu vienības digitālās darbības noturību, kā arī informācijas un komunikācijas tehnoloģiju sistēmu darbības uzlabojumus vai to nepārtrauktības nodrošināšanu;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Regulas Nr. 2022/2554 14. pantā noteiktās prasības par krīzes saziņu, tai skaitā krīzes saziņas plānu izveidi, klientu, darījumu partneru un sabiedrības informēšanu par būtiskiem ar IKT saistītiem incidentiem vai ievainojamību;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Regulas Nr. 2022/2554 17. pantā noteiktās prasības ar IKT saistītu incidentu pārvaldības procesa izveidei un ar IKT saistītu incidentu un būtisku kiberdraudu reģistrācijas nodrošināšanai;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Regulas Nr. 2022/2554 18. pantā noteiktās prasības ar IKT saistītu incidentu klasifikācijai un to ietekmes noteikšanai un būtisku kiberdraudu klasifikācijai;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Regulas Nr. 2022/2554 19. pantā noteiktās prasības par ziņošanu attiecībā uz būtiskiem ar IKT saistītiem incidentiem, brīvprātīgu paziņošanu par būtiskiem kiberdraudiem, tai skaitā ziņošanu Latvijas Bankai un klientu informēšanu;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Regulas Nr. 2022/2554 III nodaļā, tai skaitā 23. pantā, kredītiestādei, maksājumu iestādei, elektroniskās naudas iestādei un konta informācijas pakalpojumu sniedzējam noteiktās ziņošanas prasības par būtiskiem darbības vai drošības vai ar maksājumiem saistītiem incidentiem;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Regulas Nr. 2022/2554 24. pantā noteiktās vispārējās prasības par digitālās darbības noturības testu veikšanu, tai skaitā atbilstošu vispārējās digitālās darbības noturības testēšanu, konstatēto trūkumu novēršanu un riskos balstītu pieeju;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Regulas Nr. 2022/2554 25. pantā noteiktās prasības par informācijas un komunikācijas tehnoloģiju rīku un sistēmu testēšanu, tai skaitā digitālās darbības noturības testēšanas programmas atbilstību un pienācīgu testēšanu;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Regulas Nr. 2022/2554 26. pantā noteiktās prasības par informācijas un komunikācijas tehnoloģiju rīku, sistēmu un procesu padziļinātu testēšanu, kā arī kritiski svarīgo vai svarīgo funkciju padziļinātu testēšanu;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Regulas Nr. 2022/2554 27. pantā noteiktās prasības testētājiem, tai skaitā prasības par padziļinātas testēšanas ārējo testētāju izvēli vai iekšējo testētāju atbilstību;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Regulas Nr. 2022/2554 28. pantā noteiktās prasības par stabilas pārvaldības vispārējiem principiem ar trešo personu saistītu IKT risku, tai skaitā ar trešo personu saistītā IKT riska stratēģiju un ziņošanu Latvijas Bankai par spēkā esošiem un plānotajiem līgumiem;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Regulas Nr. 2022/2554 29. pantā noteiktās prasības par IKT koncentrācijas riska sākotnējo novērtējumu, tai skaitā tā identificēšanu un novērtēšanu, kā arī līguma ar trešo personu, kas sniedz IKT pakalpojumus, atbilstību digitālās darbības noturības stratēģijai;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Regulas Nr. 2022/2554 30. pantā noteiktās prasības par finanšu vienības līguma ar trešo personu, kas sniedz IKT pakalpojumus, būtiskiem noteikumiem un formu;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Regulas Nr. 2022/2554 45. pantā noteiktās prasības par atbilstošu kiberdraudu informācijas un izlūkdatu apmaiņas kārtību, tai skaitā ziņošanas prasības Latvijas Bankai par dalību un tās izbeigšanu minētās informācijas apmaiņā.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Banka šā likuma 10. panta trešajā daļā noteiktās sankcijas un ceturtajā daļā noteiktos administratīvos pasākumus ir tiesīga piemērot, ja fiziskā vai juridiskā persona neievēro:</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2024/1689 5. pantā noteiktās prasības par aizliegtu mākslīgā intelekta praksi;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2024/1689 16. pantā noteiktās prasības par augsta riska MI sistēmas nodrošinātāja pienākumiem, tai skaitā prasības par augsta riska MI sistēmas izstrādi, kā arī nepieciešamo kvalitātes vadības, dokumentācijas un atbilstības novērtēšanas pasākumu nodrošināšanu;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Regulas Nr. 2024/1689 22. pantā noteiktās prasības augsta riska MI sistēmas nodrošinātāja pilnvarotā pārstāvja iecelšanai, veicamajiem uzdevumiem un pilnvarojuma izbeigšanai, tai skaitā prasības informēšanai par izbeigto pilnvarojumu un tā iemesliem;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Regulas Nr. 2024/1689 23. pantā noteiktās prasības par importētāja pienākumiem, tai skaitā par augsta riska MI sistēmas laišanu tirgū, atbilstības novērtēšanas un tehniskās dokumentācijas sagatavošanu, kā arī par pilnvarotā pārstāvja iecelšanu, ja augsta riska mākslīgā intelekta nodrošinātāji ir reģistrēti trešajās valstīs;</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Regulas Nr. 2024/1689 24. pantā noteiktās prasības par izplatītāja pienākumiem, tai skaitā par augsta riska MI sistēmas atbilstību un dokumentācijas nodrošināšanu, kā arī sadarbību ar Latvijas Banku;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Regulas Nr. 2024/1689 26. pantā noteiktās prasības par augsta riska MI sistēmas uzturētāja pienākumiem, tai skaitā par kontroles un novērtējuma nodrošināšanu, MI sistēmas darbības uzraudzību un informācijas sniegšanu par MI sistēmas lietošanu, kā arī sadarbību ar Latvijas Banku;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Regulas Nr. 2024/1689 31. pantā noteiktās prasības attiecībā uz paziņotajām struktūrām, tai skaitā augsta riska MI sistēmas atbilstības novērtēšanas uzdevumu veikšanu;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Regulas Nr. 2024/1689 33. panta 1., 3. un 4. punktā noteiktās prasības par paziņoto struktūru meitasuzņēmumiem un apakšuzņēmumu līgumu slēgšanu, tai skaitā procedūras un prasības paziņoto struktūru līgumu slēgšanai attiecībā uz augsta riska MI sistēmas atbilstības novērtēšanas uzdevumu veikšanu;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Regulas Nr. 2024/1689 34. pantā noteiktās prasības par paziņoto struktūru pienākumiem to darbības laikā, tai skaitā par augsta riska MI sistēmas atbilstības pārbaužu veikšanu un informēšanas pienākuma prasību nodrošināšanu;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Regulas Nr. 2024/1689 50. pantā noteiktās prasības par MI sistēmas nodrošinātāja un uzturētāja pienākumiem nodrošināt pārredzamību, tai skaitā informēšanu par MI sistēmas lietošanas sekām un mākslīgi ģenerēto vai manipulēto MI sistēmas radīto saturu;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Regulas Nr. 2024/1689 99. panta 5. punktā noteiktās prasības par pareizas, pilnīgas un patiesas informācijas sniegšanas pienākumu Latvijas Bankai un paziņotajām struktūrām.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Informēšana par piemērotajām sankcijām un administratīvajiem pasākumiem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Banka informāciju par sankcijām un administratīvajiem pasākumiem, kas piemēroti par Regulas Nr. 2022/2554 prasību pārkāpumiem, pēc tam, kad administratīvais akts ir paziņots par pārkāpumu atbildīgajām fiziskajām vai juridiskajām personām, ievieto savā tīmekļvietnē, norādot ziņas par personu (fiziskajai personai – vārds, uzvārds, juridiskajai personai – nosaukums un reģistrācijas numurs) un tās izdarīto pārkāpumu (veids, piemērotā sankcija, administratīvais pasākums, lēmuma spēkā stāšanās datums), kā arī par Latvijas Bankas izdotā administratīvā akta apstrīdēšanu, pārsūdzēšanu un pieņemto nolēmumu.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Banka šā panta pirmajā daļā minēto informāciju ievieto tīmekļvietnē, neidentificējot personu, ja konstatē, ka tās fiziskās personas datu atklāšana, kurai piemērota sankcija vai administratīvais pasākums, nav samērīga vai arī fiziskās vai juridiskās personas datu atklāšana var apdraudēt finanšu tirgus stabilitāti vai uzsākta kriminālprocesa norisi vai radīt nesamērīgu kaitējumu iesaistītajām personām.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otrajā daļā noteiktajā gadījumā informācijas publiskošanu var atlikt uz saprātīgu laikposmu, ja paredzams, ka šajā laikposmā beigs pastāvēt pamats publiskošanai, neidentificējot personu.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pirmajā, otrajā un trešajā daļā noteiktajā kārtībā publiskotā informācija Latvijas Bankas tīmekļvietnē ir pieejama vismaz piecus gadus no informācijas publiskošanas dienas. Publikācijā ietvertos personas datus tīmekļvietnē saglabā tikai tik ilgi, cik tas nepieciešams, bet ne ilgāk par pieciem gadiem.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Banka informāciju par sankcijām un administratīvajiem pasākumiem, kas piemēroti par Regulas Nr. 2022/2554 prasību pārkāpumiem, ievieto savā tīmekļvietnē saskaņā ar Regulas Nr. 2022/2554 54. pantu. Latvijas Banka minēto informāciju var ievietot tīmekļvietnē, neidentificējot personu, atbilstoši Regulas Nr. 2022/2554 54. panta 3. punkta nosacījumiem.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Noilgums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Banka ir tiesīga ierosināt lietu piecu gadu laikā no pārkāpuma izdarīšanas dienas, bet, ja pārkāpums ir ilgstošs, – no pārkāpuma izbeigšanas dienas.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noteiktā noilguma termiņa skaitīšanu aptur ar lietas ierosināšanas dienu.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šajā likumā noteikto sankciju vai administratīvo pasākumu piemērošanu Latvijas Banka var pieņemt divu gadu laikā no lietas ierosināšanas dienas.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Banka izbeidz lietu, ja šā panta trešajā daļā noteiktajā termiņā nav pieņemts lēmums par šajā likumā noteikto sankciju vai administratīvo pasākumu piemērošanu.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Objektīvu iemeslu dēļ, tostarp gadījumā, ja lietā nepieciešama ilgstoša faktu konstatācija, Latvija Banka, pieņemot attiecīgu lēmumu, var pagarināt šā panta ceturtajā daļā noteikto lēmuma pieņemšanas termiņu uz laiku, kas nepārsniedz trīs gadus no lietas ierosināšanas dienas. Lēmums par termiņa pagarināšanu nav pārsūdzams.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Latvijas Bankas izdotā administratīvā akta apstrīdēšana un pārsūdzēšana</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Bankas izdoto administratīvo aktu var pārsūdzēt, iesniedzot pieteikumu Administratīvajā apgabaltiesā. 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minētā administratīvā akta apstrīdēšana vai pārsūdzēšana, izņemot administratīvo aktu par brīdinājumu vai soda naudas piemērošanu, neaptur šā akta darbību.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8. panta piekto un sesto daļu, 10. panta trešo daļu, 11. panta otro daļu un 12. panta pirmo, otro, trešo un ceturto daļu piemēro no 2025. gada 2. augusta.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kuras izriet no:</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2009. gada 25. novembra direktīvas (ES) 2009/138/EK par uzņēmējdarbības uzsākšanu un veikšanu apdrošināšanas un pārapdrošināšanas jomā (Maksātspēja II);</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2011. gada 8. jūnija direktīvas (ES) 2011/61/ES par alternatīvo ieguldījumu fondu pārvaldniekiem un par grozījumiem direktīvā 2003/41/EK, direktīvā 2009/65/EK, regulā (EK) Nr. 1060/2009 un regulā (ES) Nr. 1095/2010.</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24-TA-2371</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24-TA-2371</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likumprojekts_24-TA-2371.docx</dc:title>
</cp:coreProperties>
</file>

<file path=docProps/custom.xml><?xml version="1.0" encoding="utf-8"?>
<Properties xmlns="http://schemas.openxmlformats.org/officeDocument/2006/custom-properties" xmlns:vt="http://schemas.openxmlformats.org/officeDocument/2006/docPropsVTypes"/>
</file>