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aprīlī (prot. Nr. 18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(Latvijas Vēstnesis, 2023, 136. nr.; 2024, 13. nr.; 2025, 61.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Projekta īstenotājs projektus īsteno un rādītājus sasniedz līdz 2026. gada 31. jūlijam."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Dienests 20 darbdienu laikā pēc projekta iesnieguma saņemšanas pārbauda tā atbilstību šajos noteikumos noteiktajām prasībām, kā arī pārliecinās, vai uz projekta īstenotāju nav attiecināms neviens no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138. pantā minētajiem izslēgšanas kritērijiem."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26-TA-455</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26-TA-455</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noteikumu_(grozījumu)_projekts_26-TA-455.docx</dc:title>
</cp:coreProperties>
</file>

<file path=docProps/custom.xml><?xml version="1.0" encoding="utf-8"?>
<Properties xmlns="http://schemas.openxmlformats.org/officeDocument/2006/custom-properties" xmlns:vt="http://schemas.openxmlformats.org/officeDocument/2006/docPropsVTypes"/>
</file>