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20. jūlija noteikumos Nr. 657 "Kārtība, kādā izsniedz vai atsaka izsniegt stratēģiskas nozīmes preču licences un citus ar stratēģiskas nozīmes preču apriti saistītos dokumentus"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Stratēģiskas nozīmes preču aprites likuma</w:t>
      </w:r>
      <w:r>
        <w:br/>
      </w:r>
      <w:r w:rsidR="00000000" w:rsidRPr="00000000" w:rsidDel="00000000">
        <w:rPr>
          <w:rStyle w:val="paragraph"/>
          <w:i w:val="1"/>
          <w:rtl w:val="0"/>
        </w:rPr>
        <w:t xml:space="preserve"> 5. panta divpadsmito un četrpadsmito daļu, 6. pantu, 7. panta ceturto daļu un 12. 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20. jūlija noteikumos Nr. 657 "Kārtība, kādā izsniedz vai atsaka izsniegt stratēģiskas nozīmes preču licences un citus ar stratēģiskas nozīmes preču apriti saistītos dokumentus" (Latvijas Vēstnesis, 2010, 122. nr.; 2011, 108. nr.; 2012,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Stratēģiskas nozīmes preču aprites likuma 5. panta divpadsmito un četrpadsmito daļu, 6. pantu, 7. panta ceturto daļu un 12. panta devīto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Stratēģiskas nozīmes preču eksporta, importa, pārvietošanas, tranzīta, vispārējās eksporta, vispārējās tranzīta un globālās pārvietošanas licences var izmantot vairākos sūtījumos šo noteikumu 22. punktā norādītajos termiņos, nepārsniedzot licencēs norādīto preču daudzumu."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22-TA-100</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22-TA-100</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noteikumu_(grozījumu)_projekts_22-TA-100.docx</dc:title>
</cp:coreProperties>
</file>

<file path=docProps/custom.xml><?xml version="1.0" encoding="utf-8"?>
<Properties xmlns="http://schemas.openxmlformats.org/officeDocument/2006/custom-properties" xmlns:vt="http://schemas.openxmlformats.org/officeDocument/2006/docPropsVTypes"/>
</file>