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martā (prot. Nr. 14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4. jūnija noteikumos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w:t>
      </w:r>
      <w:r w:rsidR="00000000" w:rsidRPr="00000000" w:rsidDel="00000000">
        <w:rPr>
          <w:rStyle w:val="paragraph"/>
          <w:i w:val="1"/>
          <w:rtl w:val="0"/>
        </w:rPr>
        <w:t xml:space="preserve">6. un 13. punktu</w:t>
      </w:r>
      <w:r>
        <w:br/>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4. jūnija noteikumos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(Latvijas Vēstnesis, 2024, 109.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Pasākuma ietvaros atbildīgās iestādes funkcijas pilda Viedās administrācijas un reģionālās attīstības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Viedās administrācijas un reģionālās attīstības ministrija kā valsts informācijas un komunikācijas tehnoloģiju pārvaldības organizācija (turpmāk – valsts informācijas un komunikācijas tehnoloģiju pārvaldības organizācija) informē sadarbības iestādi par attīstības aktivitāšu aprakstiem, kas saņēmuši pozitīvu Viedās administrācijas un reģionālās attīstības ministrijas atzinumu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Sadarbības iestāde izsludina ierobežotu projektu iesniegumu atlasi un nosūta šo noteikumu 5. punktā minētajā Ministru kabineta rīkojumā norādītajiem projektu iesniedzējiem uzaicinājumu iesniegt projektu iesniegumus atlases nolikumā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"12.1.1. saimnieciskās darbības veicējiem izstrādāto digitālo pakalpojumu, produktu un procesu vērtība – vismaz 78 413 090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"12.1.2. publiskā sektora iestādes, kas atbalstītas digitālo pakalpojumu, produktu un procesu izstrādei, – vismaz 20;".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programmas rezultāta rādītājs – jaunu un modernizētu publisko digitālo pakalpojumu, produktu un procesu lietotāji – vismaz 819."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Šo noteikumu 12.2. apakšpunktā minētais rezultāta rādītājs ir sasniegts, ja tā vērtības radušās ne vēlāk kā otrajā kalendāra gadā pēc projekta noslēguma maksājuma veikšanas un ir iesniegti pamatojošie dokumenti par tā sasniegšanu, nepārsniedzot šo noteikumu 12. punktā minēto termiņu. Minētais rādītājs ir sasniegts, ja vismaz 819 lietotāji (saimnieciskās darbības veicēji un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valsts informācijas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Pasākuma ietvaros plānotais kopējais finansējums ir 156 826 179 </w:t>
      </w:r>
      <w:r w:rsidR="00000000" w:rsidRPr="00000000" w:rsidDel="00000000">
        <w:rPr>
          <w:i w:val="1"/>
          <w:rtl w:val="0"/>
        </w:rPr>
        <w:t xml:space="preserve">euro</w:t>
      </w:r>
      <w:r w:rsidR="00000000" w:rsidRPr="00000000" w:rsidDel="00000000">
        <w:rPr>
          <w:rtl w:val="0"/>
        </w:rPr>
        <w:t xml:space="preserve">, tai skaitā Eiropas Reģionālās attīstības fonda finansējums – 133 302 252 </w:t>
      </w:r>
      <w:r w:rsidR="00000000" w:rsidRPr="00000000" w:rsidDel="00000000">
        <w:rPr>
          <w:i w:val="1"/>
          <w:rtl w:val="0"/>
        </w:rPr>
        <w:t xml:space="preserve">euro</w:t>
      </w:r>
      <w:r w:rsidR="00000000" w:rsidRPr="00000000" w:rsidDel="00000000">
        <w:rPr>
          <w:rtl w:val="0"/>
        </w:rPr>
        <w:t xml:space="preserve"> un nacionālais finansējums (valsts budžeta finansējums, pašvaldību budžeta finansējums, privātais finansējums) – 23 523 927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17.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29.5.1.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"29.5.1. projekta ietvaros izstrādāta vai ieviesta risinājuma darbināšanas izmaksas aprobācijas režīmā projekta īstenošanas laikā, tai skaitā specializēto iekārtu darbināšanas, mākoņdatošanas un saistīto pakalpojumu izmaksas informācijas sistēmu izstrādes un ieviešanas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29.10.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"29.10. personu apliecinošu dokumentu un vīzu noformēšanai un izsniegšanai paredzēto iekārtu un sērijveida programmatūras iegādes izmaksas, tai skaitā licenču atjauninājumu izmaksas licenču darbības periodā, kas nepārsniedz piecus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29.16.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"29.16. projekta vadības personāla izmaksas, kas radušās uz darba līguma vai uzņēmuma (pakalpojuma) līguma pamata vai ar rīkojumu ieceļot pretendentu valsts civildienesta ierēdņa amatā, tai skaitā valsts sociālās apdrošināšanas obligātās iemaksas no apliekamajām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29.17.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"29.17. projekta īstenošanas personāla izmaksas, kas radušās uz darba līguma vai uzņēmuma (pakalpojuma) līguma pamata vai ar rīkojumu ieceļot pretendentu valsts civildienesta ierēdņa amatā, tai skaitā valsts sociālās apdrošināšanas obligātās iemaksas no apliekamajām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"37.5. un sadarbības partneris (ja attiecināms) paraksta interešu konflikta neesības apliecinājumu;".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Finansējuma saņēmējs pirmo iepirkuma procedūru par šo noteikumu 29.3. apakšpunktā minētās dokumentācijas izstrādi var izsludināt, pirms ir noslēgts civiltiesiskais līgums vai vienošanās par projekta īstenošanu. Ja finansējuma saņēmējs šo noteikumu 29.3. apakšpunktā minēto dokumentāciju izstrādā pats, tas dokumentācijas izstrādi var uzsākt, pirms ir noslēgts civiltiesiskais līgums vai vienošanās par projekta īstenošanu. Finansējuma saņēmējs pirmo iepirkuma procedūru par informācijas sistēmas izstrādi var izsludināt, pirms ir noslēgts civiltiesiskais līgums vai vienošanās par projekta īstenošanu, bet ne vēlāk kā gada laikā pēc tās noslēgšanas."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Finansējuma saņēmējs savā tīmekļvietnē ievieto aktuālo informāciju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 Ja finansējuma saņēmējs ir valsts kapitālsabiedrība, nodibinājums vai biedrība, kura īsteno projektu tai deleģēto pārvaldes uzdevumu ietvaros, avansa un starpposma maksājumu kopsumma var būt 100 procenti no projektam piešķirtā Eiropas Reģionālās attīstības fonda finansējuma un valsts budžeta līdzfinansējuma kopsummas."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26-TA-96</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26-TA-96</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noteikumu_(grozījumu)_projekts_26-TA-96.docx</dc:title>
</cp:coreProperties>
</file>

<file path=docProps/custom.xml><?xml version="1.0" encoding="utf-8"?>
<Properties xmlns="http://schemas.openxmlformats.org/officeDocument/2006/custom-properties" xmlns:vt="http://schemas.openxmlformats.org/officeDocument/2006/docPropsVTypes"/>
</file>