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Zāļu valsts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aģentūru likuma</w:t>
      </w:r>
      <w:r w:rsidR="00000000" w:rsidRPr="00000000" w:rsidDel="00000000">
        <w:rPr>
          <w:rStyle w:val="paragraph"/>
          <w:i w:val="1"/>
          <w:rtl w:val="0"/>
        </w:rPr>
        <w:t xml:space="preserve"> 4.panta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valsts aģentūra (turpmāk – aģentūra) ir veselības ministra pārraudzībā esoša valsts iestāde. Veselības ministrs aģentūras pārraudzību īsteno ar Veselības ministrijas starpniecību.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darbības mērķis ir īstenot kvalitatīvus un pamatotus pakalpojumus veselības aprūpē izmantojamo ārstniecības līdzekļu, cilvēka asiņu, audu, šūnu un orgānu ieguves un izmantošanas vietu, kā arī farmaceitiskās darbības uzņēmumu novērtēšanā atbilstoši valsts un sabiedrības interesēm veselības aprūpes nozarē.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Aģentūras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sniedzot pakalpojumus privātpersonām, valsts un pašvaldību iestādēm un ārvalstu institūcijām, veic </w:t>
      </w:r>
      <w:r w:rsidR="00000000" w:rsidRPr="00000000" w:rsidDel="00000000">
        <w:rPr>
          <w:rtl w:val="0"/>
        </w:rPr>
        <w:t xml:space="preserve">Farmācijas likumā</w:t>
      </w:r>
      <w:r w:rsidR="00000000" w:rsidRPr="00000000" w:rsidDel="00000000">
        <w:rPr>
          <w:rtl w:val="0"/>
        </w:rPr>
        <w:t xml:space="preserve">, </w:t>
      </w:r>
      <w:r w:rsidR="00000000" w:rsidRPr="00000000" w:rsidDel="00000000">
        <w:rPr>
          <w:rtl w:val="0"/>
        </w:rPr>
        <w:t xml:space="preserve">Narkotisko un psihotropo vielu un zāļu, kā arī prekursoru likumīgās aprites likumā</w:t>
      </w:r>
      <w:r w:rsidR="00000000" w:rsidRPr="00000000" w:rsidDel="00000000">
        <w:rPr>
          <w:rtl w:val="0"/>
        </w:rPr>
        <w:t xml:space="preserve"> un citos normatīvajos aktos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 un reģistrē zāles, veic zāļu kvalitātes ekspertīzi, veido un aktualizē Latvijas zāļu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farmakovigilanci;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izvērtē kompensācijas prasījumu par vakcīnas pret Covid-19 infekciju apstiprināto blakusparādību dēļ pacienta veselībai vai dzīvībai radušos smagu vai vidēji smagu kaitējumu, nosaka kompensācijas apmēru, piešķir un izmaksā kompensāciju;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izsniedz atļaujas zāļu klīnisko pētījumu veikšanai, vērtē zāļu klīniskās izpētes atbilstību labas klīniskās prakses prasībām, kā arī vērtē pieteiktos zāļu lietošanas novērojumus;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izsniedz zāļu ievešanas, izvešanas, tranzīta, izplatīšanas un iegādes (savas darbības nodrošināšanai) atļaujas, kā arī atļaujas Latvijā kontrolējamo narkotisko vielu, psihotropo vielu un prekursoru sarakstos iekļauto augu, vielu un zāļu izmantošanai medicīniskiem un veterinārmedicīniskiem zinātniskiem pētījumiem, fizikālo un ķīmisko īpašību noteikšanai un apmācībai;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regulāri apkopo un izplata informāciju par zāļu patēriņu;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novērtē medicīnisko tehnoloģiju izmaksu efektivitāti;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reģistrē prekursoru operatorus un lietotājus un izsniedz speciālās atļaujas (licences) darbam ar prekursoriem;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reģistrē Latvijā ražotas medicīniskās ierīces, izsniedz atļaujas speciāli piegādāto medicīnisko ierīču laišanai apgrozībā, kā arī veic medicīnisko ierīču vigilanci;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apstiprina ārstniecībā izmantojamās medicīniskās tehnoloģijas, reģistrē apstiprinātās medicīniskās tehnoloģijas, veido un uztur apstiprināto medicīnisko tehnoloģiju uzskaites un no valsts budžeta līdzekļiem apmaksājamo medicīnisko tehnoloģiju datubāzi;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izsniedz atļaujas medicīnisko ierīču klīniskās izpētes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izsniedz atbilstības sertifikātus audu, šūnu un orgānu ieguves (izmantošanas) vietām, ārstniecības iestāžu asins kabinetiem, asins sagatavošanas nodaļām un Valsts asinsdonoru centram;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izsniedz speciālās atļaujas (licences) farmaceitiskajai darbībai;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izsniedz zāļu labas ražošanas prakses atbilstības sertifikātus;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piedalās Eiropas Ekonomikas zonas valstu zāļu aģentūru un medicīnisko ierīču aģentūru kopējās sistēmās, sadarbojas ar Eiropas institūcijām un starptautiskām organizācijām, iesaistoties darba dalīšanā, ievērojot vienotus standartus un procedūras;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sadarbojas ar ārstu un farmaceitu profesionālajām organizācijām, nozares nevalstiskajām organizācijām, ārvalstu un starptautiskajām institūcijām, kā arī nodrošina savstarpēju informācijas apmaiņu aģentūras darbības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veic kompetentajai iestādei paredzētos uzdevumus atbilstoši prasībām, ko nosaka: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2004.gada 31.marta Regula (EK) Nr. </w:t>
      </w:r>
      <w:r w:rsidR="00000000" w:rsidRPr="00000000" w:rsidDel="00000000">
        <w:rPr>
          <w:rtl w:val="0"/>
        </w:rPr>
        <w:t xml:space="preserve">726/2004</w:t>
      </w:r>
      <w:r w:rsidR="00000000" w:rsidRPr="00000000" w:rsidDel="00000000">
        <w:rPr>
          <w:rtl w:val="0"/>
        </w:rPr>
        <w:t xml:space="preserve">, ar ko nosaka cilvēkiem paredzēto un veterināro zāļu reģistrēšanas un uzraudzības Kopienas procedūras un izveido Eiropas Zāļu aģentūru;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2006.gada 12.decembra Regula (EK) Nr.1901/2006 par pediatrijā lietojamām zālēm un par grozījumiem Regulā (EEK) Nr.1768/92, Direktīvā </w:t>
      </w:r>
      <w:r w:rsidR="00000000" w:rsidRPr="00000000" w:rsidDel="00000000">
        <w:rPr>
          <w:rtl w:val="0"/>
        </w:rPr>
        <w:t xml:space="preserve">2001/20/EK</w:t>
      </w:r>
      <w:r w:rsidR="00000000" w:rsidRPr="00000000" w:rsidDel="00000000">
        <w:rPr>
          <w:rtl w:val="0"/>
        </w:rPr>
        <w:t xml:space="preserve">, Direktīvā </w:t>
      </w:r>
      <w:r w:rsidR="00000000" w:rsidRPr="00000000" w:rsidDel="00000000">
        <w:rPr>
          <w:rtl w:val="0"/>
        </w:rPr>
        <w:t xml:space="preserve">2001/83/EK</w:t>
      </w:r>
      <w:r w:rsidR="00000000" w:rsidRPr="00000000" w:rsidDel="00000000">
        <w:rPr>
          <w:rtl w:val="0"/>
        </w:rPr>
        <w:t xml:space="preserve"> un Regulā (EK) Nr.726/2004;</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2007.gada 13.novembra Regula (EK) Nr.1394/2007 par uzlabotas terapijas zālēm, un ar ko groza Direktīvu </w:t>
      </w:r>
      <w:r w:rsidR="00000000" w:rsidRPr="00000000" w:rsidDel="00000000">
        <w:rPr>
          <w:rtl w:val="0"/>
        </w:rPr>
        <w:t xml:space="preserve">2001/83/EK</w:t>
      </w:r>
      <w:r w:rsidR="00000000" w:rsidRPr="00000000" w:rsidDel="00000000">
        <w:rPr>
          <w:rtl w:val="0"/>
        </w:rPr>
        <w:t xml:space="preserve"> un Regulu (EK) Nr.726/2004;</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Komisijas 2008.gada 24.novembra Regula (EK) Nr. </w:t>
      </w:r>
      <w:r w:rsidR="00000000" w:rsidRPr="00000000" w:rsidDel="00000000">
        <w:rPr>
          <w:rtl w:val="0"/>
        </w:rPr>
        <w:t xml:space="preserve">1234/2008</w:t>
      </w:r>
      <w:r w:rsidR="00000000" w:rsidRPr="00000000" w:rsidDel="00000000">
        <w:rPr>
          <w:rtl w:val="0"/>
        </w:rPr>
        <w:t xml:space="preserve"> par izmaiņu izskatīšanu cilvēkiem paredzētu zāļu un veterināro zāļu tirdzniecības atļauju nosacījumos;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Parlamenta un Padomes 2010.gada 15.decembra Regula (ES) Nr. </w:t>
      </w:r>
      <w:r w:rsidR="00000000" w:rsidRPr="00000000" w:rsidDel="00000000">
        <w:rPr>
          <w:rtl w:val="0"/>
        </w:rPr>
        <w:t xml:space="preserve">1235/2010</w:t>
      </w:r>
      <w:r w:rsidR="00000000" w:rsidRPr="00000000" w:rsidDel="00000000">
        <w:rPr>
          <w:rtl w:val="0"/>
        </w:rPr>
        <w:t xml:space="preserve">, ar kuru attiecībā uz cilvēkiem paredzēto zāļu farmakovigilanci groza Regulu (EK) Nr. </w:t>
      </w:r>
      <w:r w:rsidR="00000000" w:rsidRPr="00000000" w:rsidDel="00000000">
        <w:rPr>
          <w:rtl w:val="0"/>
        </w:rPr>
        <w:t xml:space="preserve">726/2004</w:t>
      </w:r>
      <w:r w:rsidR="00000000" w:rsidRPr="00000000" w:rsidDel="00000000">
        <w:rPr>
          <w:rtl w:val="0"/>
        </w:rPr>
        <w:t xml:space="preserve">, ar ko nosaka cilvēkiem paredzēto un veterināro zāļu reģistrēšanas un uzraudzības Kopienas procedūras un izveido Eiropas Zāļu aģentūru, un Regulu (EK) Nr. </w:t>
      </w:r>
      <w:r w:rsidR="00000000" w:rsidRPr="00000000" w:rsidDel="00000000">
        <w:rPr>
          <w:rtl w:val="0"/>
        </w:rPr>
        <w:t xml:space="preserve">1394/2007</w:t>
      </w:r>
      <w:r w:rsidR="00000000" w:rsidRPr="00000000" w:rsidDel="00000000">
        <w:rPr>
          <w:rtl w:val="0"/>
        </w:rPr>
        <w:t xml:space="preserve"> par uzlabotas terapijas zālēm;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Komisijas 2012.gada 19.jūnija Īstenošanas regula (ES) Nr.520/2012 par Eiropas Parlamenta un Padomes Regulā (EK) Nr.726/2004 un Eiropas Parlamenta un Padomes Direktīvā </w:t>
      </w:r>
      <w:r w:rsidR="00000000" w:rsidRPr="00000000" w:rsidDel="00000000">
        <w:rPr>
          <w:rtl w:val="0"/>
        </w:rPr>
        <w:t xml:space="preserve">2001/83/EK</w:t>
      </w:r>
      <w:r w:rsidR="00000000" w:rsidRPr="00000000" w:rsidDel="00000000">
        <w:rPr>
          <w:rtl w:val="0"/>
        </w:rPr>
        <w:t xml:space="preserve"> noteikto farmakovigilances darbību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02.07.2019. noteikumiem Nr. 301)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Aģentūrai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bez maksas saņemt no valsts un pašvaldību institūcijām, kā arī normatīvajos aktos noteiktajā kārtībā no fiziskajām un juridiskajām personām aģentūras funkciju un uzdevumu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iekasēt maksu par aģentūras sniegtajiem publiskajiem pakalpojumiem Ministru kabineta noteiktajā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pieaicināt ekspertus, kā arī veidot ekspertu padomes un komisijas aģentūras funkciju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darbības jomai rīkot konferences, seminārus, kursus, mācības un citus izglītojošus un informatīvus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aģentūras kompetencei slēgt līgumus ar valsts un pašvaldību institūcijām, nevalstiskajām organizācijām, fiziskajām un juridiskajām personām, kā arī ārvalstu institūcijām un starptautiskām organizācijām.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Aģentūras pārvalde, darbības tiesiskuma nodrošināšana un uzraudzība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Aģentūras direktors ir valsts civildienesta ierēdnis, kuru ieceļ amatā un atbrīvo no amata veselības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Aģentūras direktoram var būt vietnieki – valsts civildienesta ierēdņi.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Aģentūras struktūrvienību amatpersonu lēmumus un faktisko rīcību var apstrīdēt, iesniedzot attiecīgu iesniegumu aģentūras direktoram. Aģentūras direktora lēmumu var pārsūdzēt administratīvajā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direktora izdotos administratīvos aktus (izņemot šo noteikumu </w:t>
      </w:r>
      <w:r w:rsidR="00000000" w:rsidRPr="00000000" w:rsidDel="00000000">
        <w:rPr>
          <w:rtl w:val="0"/>
        </w:rPr>
        <w:t xml:space="preserve">8.</w:t>
      </w:r>
      <w:r w:rsidR="00000000" w:rsidRPr="00000000" w:rsidDel="00000000">
        <w:rPr>
          <w:rtl w:val="0"/>
        </w:rPr>
        <w:t xml:space="preserve">punktā minēto lēmumu) un faktisko rīcību var apstrīdēt Veselības ministrijā. Veselības ministrijas lēmumu var pārsūdzēt administratīvajā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sagatavo un iesniedz Veselības ministrijā kārtējo un gada pārskatu par tās darbību un finanšu līdzekļu izlietojumu.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 pēc Veselības ministrijas pieprasījuma sniedz informāciju par aģentūras darbību un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Atzīt par spēku zaudējušiem Ministru kabineta 2004.gada 7.decembra noteikumus Nr.1006 "Zāļu valsts aģentūras nolikums" (Latvijas Vēstnesis, 2004, 196.nr.; 2005, 172.nr.; 2009, 157.nr.).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Noteikumi stājas spēkā 2013.gada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22-TA-449</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22-TA-449</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noteikumu_konsolidētā_versija_22-TA-449.docx</dc:title>
</cp:coreProperties>
</file>

<file path=docProps/custom.xml><?xml version="1.0" encoding="utf-8"?>
<Properties xmlns="http://schemas.openxmlformats.org/officeDocument/2006/custom-properties" xmlns:vt="http://schemas.openxmlformats.org/officeDocument/2006/docPropsVTypes"/>
</file>