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vaislas sivēnmāšu sagatavošanu ierakstīšanai ciltsgrāmatā, to ģenētiskās kvalitātes noteikšanu un produktivitātes datu izvērtēšanu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60"/>
        <w:gridCol w:w="1136"/>
        <w:gridCol w:w="1120"/>
        <w:gridCol w:w="1087"/>
        <w:gridCol w:w="1056"/>
        <w:gridCol w:w="1024"/>
        <w:gridCol w:w="976"/>
        <w:gridCol w:w="879"/>
        <w:tblGridChange w:id="0">
          <w:tblGrid>
            <w:gridCol w:w="1160"/>
            <w:gridCol w:w="1136"/>
            <w:gridCol w:w="1120"/>
            <w:gridCol w:w="1087"/>
            <w:gridCol w:w="1056"/>
            <w:gridCol w:w="1024"/>
            <w:gridCol w:w="976"/>
            <w:gridCol w:w="87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(juridiskās personas firma (nosaukums)/fiziskās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sivēnmāšu skaits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Sivēnmāšu skaits ar selekcijas indeksu 110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95 %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 – 75 % no kopējā sivēnmāšu skaita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sivēnmāšu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par sivēnmātēm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</w:t>
      </w:r>
      <w:r w:rsidR="00000000" w:rsidRPr="00000000" w:rsidDel="00000000">
        <w:rPr>
          <w:rtl w:val="0"/>
        </w:rPr>
        <w:t xml:space="preserve">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paraksts*)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21-TA-148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21-TA-148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