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novembra noteikumos Nr. 635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piekto daļu, </w:t>
      </w:r>
      <w:r w:rsidR="00000000" w:rsidRPr="00000000" w:rsidDel="00000000">
        <w:rPr>
          <w:rStyle w:val="paragraph"/>
          <w:i w:val="1"/>
          <w:rtl w:val="0"/>
        </w:rPr>
        <w:t xml:space="preserve">30.</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w:t>
      </w:r>
      <w:r w:rsidR="00000000" w:rsidRPr="00000000" w:rsidDel="00000000">
        <w:rPr>
          <w:rStyle w:val="paragraph"/>
          <w:i w:val="1"/>
          <w:rtl w:val="0"/>
        </w:rPr>
        <w:t xml:space="preserve"> septīto daļu, 30.</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sesto un septīto daļu, </w:t>
      </w:r>
      <w:r w:rsidR="00000000" w:rsidRPr="00000000" w:rsidDel="00000000">
        <w:rPr>
          <w:rStyle w:val="paragraph"/>
          <w:i w:val="1"/>
          <w:rtl w:val="0"/>
        </w:rPr>
        <w:t xml:space="preserve">32. panta</w:t>
      </w:r>
      <w:r w:rsidR="00000000" w:rsidRPr="00000000" w:rsidDel="00000000">
        <w:rPr>
          <w:rStyle w:val="paragraph"/>
          <w:i w:val="1"/>
          <w:rtl w:val="0"/>
        </w:rPr>
        <w:t xml:space="preserve"> trešo un piekto daļu, </w:t>
      </w:r>
      <w:r w:rsidR="00000000" w:rsidRPr="00000000" w:rsidDel="00000000">
        <w:rPr>
          <w:rStyle w:val="paragraph"/>
          <w:i w:val="1"/>
          <w:rtl w:val="0"/>
        </w:rPr>
        <w:t xml:space="preserve">33. panta</w:t>
      </w:r>
      <w:r w:rsidR="00000000" w:rsidRPr="00000000" w:rsidDel="00000000">
        <w:rPr>
          <w:rStyle w:val="paragraph"/>
          <w:i w:val="1"/>
          <w:rtl w:val="0"/>
        </w:rPr>
        <w:t xml:space="preserve"> septīto daļu, </w:t>
      </w:r>
      <w:r w:rsidR="00000000" w:rsidRPr="00000000" w:rsidDel="00000000">
        <w:rPr>
          <w:rStyle w:val="paragraph"/>
          <w:i w:val="1"/>
          <w:rtl w:val="0"/>
        </w:rPr>
        <w:t xml:space="preserve">34. panta</w:t>
      </w:r>
      <w:r w:rsidR="00000000" w:rsidRPr="00000000" w:rsidDel="00000000">
        <w:rPr>
          <w:rStyle w:val="paragraph"/>
          <w:i w:val="1"/>
          <w:rtl w:val="0"/>
        </w:rPr>
        <w:t xml:space="preserve"> trešo daļu, </w:t>
      </w:r>
      <w:r w:rsidR="00000000" w:rsidRPr="00000000" w:rsidDel="00000000">
        <w:rPr>
          <w:rStyle w:val="paragraph"/>
          <w:i w:val="1"/>
          <w:rtl w:val="0"/>
        </w:rPr>
        <w:t xml:space="preserve">35. panta</w:t>
      </w:r>
      <w:r w:rsidR="00000000" w:rsidRPr="00000000" w:rsidDel="00000000">
        <w:rPr>
          <w:rStyle w:val="paragraph"/>
          <w:i w:val="1"/>
          <w:rtl w:val="0"/>
        </w:rPr>
        <w:t xml:space="preserve"> otro daļu,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w:t>
      </w:r>
      <w:r w:rsidR="00000000" w:rsidRPr="00000000" w:rsidDel="00000000">
        <w:rPr>
          <w:rStyle w:val="paragraph"/>
          <w:i w:val="1"/>
          <w:rtl w:val="0"/>
        </w:rPr>
        <w:t xml:space="preserve"> desmito daļu, pārejas noteikumu </w:t>
      </w:r>
      <w:r w:rsidR="00000000" w:rsidRPr="00000000" w:rsidDel="00000000">
        <w:rPr>
          <w:rStyle w:val="paragraph"/>
          <w:i w:val="1"/>
          <w:rtl w:val="0"/>
        </w:rPr>
        <w:t xml:space="preserve">99.</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w:t>
      </w:r>
      <w:r w:rsidR="00000000" w:rsidRPr="00000000" w:rsidDel="00000000">
        <w:rPr>
          <w:rStyle w:val="paragraph"/>
          <w:i w:val="1"/>
          <w:rtl w:val="0"/>
        </w:rPr>
        <w:t xml:space="preserve"> un </w:t>
      </w:r>
      <w:r w:rsidR="00000000" w:rsidRPr="00000000" w:rsidDel="00000000">
        <w:rPr>
          <w:rStyle w:val="paragraph"/>
          <w:i w:val="1"/>
          <w:rtl w:val="0"/>
        </w:rPr>
        <w:t xml:space="preserve">likuma "Par sabiedrisko pakalpojumu regulatoriem" 22. panta</w:t>
      </w:r>
      <w:r w:rsidR="00000000" w:rsidRPr="00000000" w:rsidDel="00000000">
        <w:rPr>
          <w:rStyle w:val="paragraph"/>
          <w:i w:val="1"/>
          <w:rtl w:val="0"/>
        </w:rPr>
        <w:t xml:space="preserve">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7. novembra noteikumos Nr. 635 "Elektroenerģijas tirdzniecības un lietošanas noteikumi" (Latvijas Vēstnesis, 2023, 218. nr.; 2024, 27., 108., 114., 237. nr.; 2025, 50.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 viedo elektroenerģijas komercuzskaites mēraparātu minimālās funkcionālās un tehniskās prasības un uzskaitīto datu pieejamības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enerģijas kopīgošanas organizatora darbības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b w:val="1"/>
          <w:vertAlign w:val="superscript"/>
          <w:rtl w:val="0"/>
        </w:rPr>
        <w:t xml:space="preserve">1</w:t>
      </w:r>
      <w:r w:rsidR="00000000" w:rsidRPr="00000000" w:rsidDel="00000000">
        <w:rPr>
          <w:b w:val="1"/>
          <w:rtl w:val="0"/>
        </w:rPr>
        <w:t xml:space="preserve">. Viedie elektroenerģijas komercuzskaites mēraparāti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Viedais elektroenerģijas komercuzskaites mēraparāts mēra sistēmā nodotās un no sistēmas saņemtās elektroenerģijas apjomu katrā tirdzniecības intervālā.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Sistēmas operators bez papildu maksas nodrošina lietotājam vai trešajai personai, kas darbojas lietotāja vārdā, šo noteikumu 12.</w:t>
      </w:r>
      <w:r w:rsidR="00000000" w:rsidRPr="00000000" w:rsidDel="00000000">
        <w:rPr>
          <w:vertAlign w:val="superscript"/>
          <w:rtl w:val="0"/>
        </w:rPr>
        <w:t xml:space="preserve">2</w:t>
      </w:r>
      <w:r w:rsidR="00000000" w:rsidRPr="00000000" w:rsidDel="00000000">
        <w:rPr>
          <w:rtl w:val="0"/>
        </w:rPr>
        <w:t xml:space="preserve"> punktā minētos datus, kā arī to vēsturi par iepriekšējiem trim gadiem standartizētā komunikācijas saskarnē, ar attālinātas piekļuves starpniecību vai tos lejuplādējot.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Sistēmas operators pirms viedā elektroenerģijas komercuzskaites mēraparāta uzstādīšanas vai tā uzstādīšanas brīdī nodrošina lietotājam ar elektroenerģijas komercuzskaites mēraparāta darbību un lietošanu saistītu informāciju, tostarp par viedā elektroenerģijas komercuzskaites mēraparāta sniegtajām elektroenerģijas uzskaites datu pārvaldības un elektroenerģijas patēriņa monitoringa iespējām, kā arī informāciju par personas datu apstrādi saskaņā ar tiesību aktiem, kas regulē personas datu aizsardzību.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Viedais elektroenerģijas komercuzskaites mēraparāts trīs fāžu pieslēgumā uzskaita sistēmā nodoto un no sistēmas saņemto elektroenerģiju katrā fāzē atsevišķi pēc algebriskās metodes.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Viedā elektroenerģijas komercuzskaites mēraparāta funkcionalitātei jānodrošina elektroenerģijas patēriņa uzskaite un norēķinu iespējas par nebalansu tādā pašā laika periodā, kāds ir nebalansa periods elektroenerģijas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III</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b w:val="1"/>
          <w:vertAlign w:val="superscript"/>
          <w:rtl w:val="0"/>
        </w:rPr>
        <w:t xml:space="preserve">2</w:t>
      </w:r>
      <w:r w:rsidR="00000000" w:rsidRPr="00000000" w:rsidDel="00000000">
        <w:rPr>
          <w:b w:val="1"/>
          <w:rtl w:val="0"/>
        </w:rPr>
        <w:t xml:space="preserve">. Enerģijas kopīgošanas organizēšana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 Aktīvā lietotāja līgumā ar enerģijas kopīgošanas organizatoru vai citu trešo personu par enerģijas kopīgošanas organizēšanu var ietvert šādus pienākumus, kurus aktīvais lietotājs var deleģēt enerģijas kopīgošanas organizatoram: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1. saziņa par enerģijas kopīgošanas kārtību ar citām enerģijas kopīgošanā iesaistītajām pusēm, piemēram, elektroenerģijas tirgotājiem un sistēmas operatoriem;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2. atbalsta sniegšana, lai pārvaldītu un balansētu elastīgās slodzes aiz skaitītāja, kopīgošanā ietvertās izkliedētās atjaunojamās enerģijas ražošanas un uzkrāšanas iekārtas;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3. līgumu slēgšana un rēķinu izrakstīšana aktīvajiem lietotājiem, kas piedalās enerģijas kopīgošanā;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4. atjaunīgās enerģijas ražošanas vai uzkrāšanas iekārtas pārvaldīšana, tostarp uzstādīšana, ekspluatācija, uzskaite un uzturēšana."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Tirgotājs elektroenerģijas tirdzniecības līgumā norāda tirgotāja un lietotāja identitāti un adresi, līguma darbības termiņu, elektroenerģijas tirdzniecības periodu, līguma pirmstermiņa izbeigšanas kārtību, līguma veidu (dinamiskas vai fiksētas elektroenerģijas cenas līgums), informāciju par iespējām, izmaksām un riskiem, kas saistīti ar attiecīgo līguma veidu, elektroenerģijas cenu vai tās noteikšanas formulu, informāciju par vienreizējiem maksājumiem, īpašiem nosacījumiem vai atlaidēm, informāciju par papildu pakalpojumiem un maksājumiem, elektroenerģijas piegādes grafiku saskaņošanas kārtību, norēķinu kārtību un veidu, pretenziju un jautājumu iesniegšanas un izskatīšanas kārtību, kontaktinformāciju, tostarp tirgotāja elektroniskā pasta adresi, palīdzības dienesta tālruņa numuru un citu nepieciešamo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Pirms elektroenerģijas tirdzniecības līguma noslēgšanas vai pagarināšanas tirgotājs lietotājam viegli uztveramā veidā skaidri un kodolīgi sniedz kopsavilkumu par būtiskajiem līguma noteikumiem. Minētajā kopsavilkumā izklāsta šo noteikumu 22. punktā, 31.3. apakšpunktā un 39.</w:t>
      </w:r>
      <w:r w:rsidR="00000000" w:rsidRPr="00000000" w:rsidDel="00000000">
        <w:rPr>
          <w:vertAlign w:val="superscript"/>
          <w:rtl w:val="0"/>
        </w:rPr>
        <w:t xml:space="preserve">1</w:t>
      </w:r>
      <w:r w:rsidR="00000000" w:rsidRPr="00000000" w:rsidDel="00000000">
        <w:rPr>
          <w:rtl w:val="0"/>
        </w:rPr>
        <w:t xml:space="preserve"> punktā minēto informāciju un lietotāja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Ja elektroenerģijas tirdzniecības līgumā, kas ar lietotāju noslēgts uz noteiktu laiku, paredzēta maksa par līguma pirmstermiņa izbeigšanu, tā jānosaka tādā veidā, lai no līguma spēkā stāšanās brīža maksa par līguma pirmstermiņa izbeigšanu ne retāk kā katrus trīs mēnešus tiktu samazināta proporcionāli elektroenerģijas piegādes laikam līdz līguma pirmstermiņa izbeigšanai. Maksa par līguma pirmstermiņa izbeigšanu nevar pārsniegt prognozēto tirgotāja peļņu no attiecīgā līguma visā līguma darbības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Lietotājiem ar fiksētas elektroenerģijas cenas līgumu ir tiesības iesaistīties enerģijas kopīgošanā, elastības pakalpojumos vai energoefektivitātes shēmās."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ja tirgotājs maina līguma nosacījumus, mājsaimniecības lietotājs ir tiesīgs izbeigt elektroenerģijas tirdzniecības līgumu bez līguma pirmstermiņa izbeigšanas maksas piemērošanas;".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Veicot izmaiņas elektroenerģijas tirdzniecības līguma nosacījumos, tirgotājs par tiem informē mājsaimniecības lietotāju ne vēlāk kā vienu mēnesi pirms izmaiņu spēkā stāšanās dienas. Paziņojumā iekļauj informāciju par izmaiņu apmēru un iemesliem, kā arī mājsaimniecības lietotāja tiesībām vienpusēji izbeigt elektroenerģijas tirdzniecības līgumu bez līguma pirmstermiņa izbeigšanas maksas piemērošanas."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Ja tirgotājs maina elektroenerģijas tirdzniecības līguma nosacījumus, lietotājs ir tiesīgs izbeigt elektroenerģijas tirdzniecības līgumu bez līguma pirmstermiņa izbeigšanas maksas piemērošanas."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Veicot izmaiņas elektroenerģijas tirdzniecības līguma nosacījumos, tirgotājs par tiem informē lietotāju ne vēlāk kā divas nedēļas pirms izmaiņu spēkā stāšanās dienas. Paziņojumā iekļauj informāciju par izmaiņu apmēru un iemesliem, kā arī lietotāja tiesībām vienpusēji izbeigt elektroenerģijas tirdzniecības līgumu bez līguma pirmstermiņa izbeigšanas maksas piemērošanas."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43.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Tirgotājs savos elektroenerģijas tirdzniecības piedāvājumos var ietvert īpašus fiksētas elektroenerģijas cenas līguma piedāvājumus mazajiem un vidējiem uzņēmumiem, kas neparedz maksas par līguma pirmstermiņa izbeigšanu piemērošanu."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Tirgotājam ir pienākums: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87.1. līdz kārtējā mēneša divdesmit piektajam datumam pēc norēķinu perioda beigām mājsaimniecības lietotāja un šo noteikumu 35. punktā minēto lietotāju vārdā norēķināties ar sistēmas operatoru par lietotājam sniegtajiem sistēmas pakalpojumiem un citiem pakalpojumiem saskaņā ar spēkā esošajiem sistēmas pakalpojumu tarifiem;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87.2. pēc sadales sistēmas operatora pieprasījuma sniegt vai atjaunot šo noteikumu IX</w:t>
      </w:r>
      <w:r w:rsidR="00000000" w:rsidRPr="00000000" w:rsidDel="00000000">
        <w:rPr>
          <w:vertAlign w:val="superscript"/>
          <w:rtl w:val="0"/>
        </w:rPr>
        <w:t xml:space="preserve">1</w:t>
      </w:r>
      <w:r w:rsidR="00000000" w:rsidRPr="00000000" w:rsidDel="00000000">
        <w:rPr>
          <w:rtl w:val="0"/>
        </w:rPr>
        <w:t xml:space="preserve"> nodaļā noteikto saistību izpildes nodrošinājumu."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IX</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b w:val="1"/>
          <w:vertAlign w:val="superscript"/>
          <w:rtl w:val="0"/>
        </w:rPr>
        <w:t xml:space="preserve">1</w:t>
      </w:r>
      <w:r w:rsidR="00000000" w:rsidRPr="00000000" w:rsidDel="00000000">
        <w:rPr>
          <w:b w:val="1"/>
          <w:rtl w:val="0"/>
        </w:rPr>
        <w:t xml:space="preserve">. Tirgotāja līgumsaistību izpildes nodrošinājums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 Sadales sistēmas operators ir tiesīgs pieprasīt tirgotājam iesniegt saistību izpildes nodrošinājumu, lai nodrošinātu maksājumus par lietotājiem sniegtajiem sistēmas pakalpojumiem un citiem pakalpojumiem, ja prognozējamais saistību apmērs pārsniedz 5000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2</w:t>
      </w:r>
      <w:r w:rsidR="00000000" w:rsidRPr="00000000" w:rsidDel="00000000">
        <w:rPr>
          <w:rtl w:val="0"/>
        </w:rPr>
        <w:t xml:space="preserve"> Tirgotājs var izvēlēties saistību izpildes nodrošinājuma veidu (drošības depozīta vai finanšu pakalpojumu sniedzēja garantija).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 Tirgotājs saistību izpildes nodrošinājumu iesniedz sadales sistēmas operatoram sistēmas lietošanas līgumā noteiktajā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4</w:t>
      </w:r>
      <w:r w:rsidR="00000000" w:rsidRPr="00000000" w:rsidDel="00000000">
        <w:rPr>
          <w:rtl w:val="0"/>
        </w:rPr>
        <w:t xml:space="preserve"> Finanšu pakalpojumu sniedzēja garantiju sadales sistēmas operators atzīst par pienācīgu saistību izpildes nodrošinājumu, ja tā atbilst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4</w:t>
      </w:r>
      <w:r w:rsidR="00000000" w:rsidRPr="00000000" w:rsidDel="00000000">
        <w:rPr>
          <w:rtl w:val="0"/>
        </w:rPr>
        <w:t xml:space="preserve">1. garantiju ir izdevis finanšu pakalpojumu sniedzējs, kuram vai kura grupai kredītreitings ilgtermiņa aizdevumiem ārvalstu valūtā ir vismaz Baa1 saskaņā ar Moody's aģentūru vai BBB+ saskaņā ar Standard&amp;Poor‘s aģentūru, vai BBB+ saskaņā ar Fitch Ratings aģentūru. Ja finanšu pakalpojumu sniedzējam vai tā grupai vismaz viena šajā punktā norādītā kredītreitinga aģentūra ir piešķīrusi norādīto ilgtermiņa kredītreitingu, tad tiek pieņemts, ka šāda finanšu pakalpojumu sniedzēja vai tā grupas izdotā garantija ir piemērota;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4</w:t>
      </w:r>
      <w:r w:rsidR="00000000" w:rsidRPr="00000000" w:rsidDel="00000000">
        <w:rPr>
          <w:rtl w:val="0"/>
        </w:rPr>
        <w:t xml:space="preserve">2. garantija ir pirmā pieprasījuma un neatsaucama.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5</w:t>
      </w:r>
      <w:r w:rsidR="00000000" w:rsidRPr="00000000" w:rsidDel="00000000">
        <w:rPr>
          <w:rtl w:val="0"/>
        </w:rPr>
        <w:t xml:space="preserve"> Saistību izpildes nodrošinājumam ir jābūt spēkā sistēmas lietošanas līguma darbības laikā, kā arī 45 dienas pēc tā izbeigšanas.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6</w:t>
      </w:r>
      <w:r w:rsidR="00000000" w:rsidRPr="00000000" w:rsidDel="00000000">
        <w:rPr>
          <w:rtl w:val="0"/>
        </w:rPr>
        <w:t xml:space="preserve"> Prognozējamo saistību apmēru nosaka sadales sistēmas operators saskaņā ar saistību izpildes nodrošinājuma noteikšanas kārtību, kuru sadales sistēmas operators publicē savā tīmekļvietnē. Saistību izpildes nodrošinājuma apmērs ir vienāds ar prognozējamo saistību apmēru, bet nav mazāks par 5000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 Ja prognozējamās tirgotāja saistības pret sadales sistēmas operatoru sistēmas lietošanas līguma ietvaros pārsniedz summu, par kādu tas sadales sistēmas operatoram iesniedzis saistību izpildes nodrošinājumu, sadales sistēmas operatoram ir tiesības pieprasīt tirgotājam palielināt saistību izpildes nodrošinājuma apmēru un piecu darba dienu laikā iesniegt sadales sistēmas operatoram jaunu saistību izpildes nodrošinājumu, kas atbilst šo noteikumu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8</w:t>
      </w:r>
      <w:r w:rsidR="00000000" w:rsidRPr="00000000" w:rsidDel="00000000">
        <w:rPr>
          <w:rtl w:val="0"/>
        </w:rPr>
        <w:t xml:space="preserve"> Sadales sistēmas operators var izmantot saistību izpildes nodrošinājumu, ja sistēmas lietošanas līgumā paredzētajā termiņā nesaņem pilnu maksu par sistēmas pakalpojumiem vai citiem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9</w:t>
      </w:r>
      <w:r w:rsidR="00000000" w:rsidRPr="00000000" w:rsidDel="00000000">
        <w:rPr>
          <w:rtl w:val="0"/>
        </w:rPr>
        <w:t xml:space="preserve"> Ja tirgotājs sistēmas lietošanas līgumā noteiktajā kārtībā neiesniedz saistību izpildes nodrošinājumu sadales sistēmas operatora noteiktajā apmērā vai neatjauno saistību nodrošinājumu piecu dienu laikā, vai iesniegtais saistību izpildes nodrošinājums neatbilst šo noteikumu prasībām, sadales sistēmas operatoram ir tiesības izbeigt sistēmas lietošanas līgumu.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10</w:t>
      </w:r>
      <w:r w:rsidR="00000000" w:rsidRPr="00000000" w:rsidDel="00000000">
        <w:rPr>
          <w:rtl w:val="0"/>
        </w:rPr>
        <w:t xml:space="preserve"> Izbeidzot sistēmas lietošanas līgumu, sadales sistēmas operators 10 darbdienu laikā pēc tam, kad tirgotājs ir izpildījis visas saistības pret sadales sistēmas operatoru, atmaksā tirgotājam saistību izpildes nodrošinājuma summu, kas nav izlietota tirgotāja neizpildīto saistību dzēšanai, vai atdod tirgotāja iesniegtās finanšu pakalpojumu sniedzēja garantijas oriģinālu."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Tirgotājs nekavējoties informē sistēmas operatoru par norēķinu kavēšanās iemesliem un piecu darbdienu laikā atjauno sadales sistēmas operatora izmantoto saistību izpildes nodrošinājumu pilnā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Sistēmas operators triju darbdienu laikā no dienas, kad tirgotājs kavējis saistību izpildes nodrošinājuma iesniegšanas vai atjaunošanas termiņu, informē lietotājus, kam ar šo tirgotāju ir spēkā esošs elektroenerģijas tirdzniecības līgums, par tirgotāja maksājuma kavēšanos. Paziņojumā lietotājiem sistēmas operators norāda datumu, kad tas tirgotājam pieprasījis finanšu garantijas, kā arī šo noteikumu 118. punktā minētās tiesības izbeigt ar tirgotāju noslēgto sistēmas lietošanas līgumu, un vērš uzmanību, ka līguma pārtraukšanas gadījumā lietotāji, kuriem ir spēkā līgums ar šo tirgotāju, jau ar kārtējo norēķinu periodu elektroenerģiju saņems pēdējās garantētās piegādes ietvaros, bet par iepriekšējo norēķinu periodu saņems sistēmas operatora izrakstītu rēķinu par saņemtajiem sistēmas pakalpojumiem. Ar norēķinu perioda sākumu, kas seko norēķinu periodam par kuru konstatēts tirgotāja maksājuma kavējums, sistēmas operators ir tiesīgs vienpusēji izbeigt šo noteikumu 35. punktā minēto lietotāja piešķirto deleģējumu tirgotājam."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 Ja tirgotājs pēc sadales sistēmas operatora pieprasījuma nav iesniedzis vai atjaunojis šo noteikumu IX</w:t>
      </w:r>
      <w:r w:rsidR="00000000" w:rsidRPr="00000000" w:rsidDel="00000000">
        <w:rPr>
          <w:vertAlign w:val="superscript"/>
          <w:rtl w:val="0"/>
        </w:rPr>
        <w:t xml:space="preserve">1</w:t>
      </w:r>
      <w:r w:rsidR="00000000" w:rsidRPr="00000000" w:rsidDel="00000000">
        <w:rPr>
          <w:rtl w:val="0"/>
        </w:rPr>
        <w:t xml:space="preserve"> nodaļā minēto saistību izpildes nodrošinājumu, sadales sistēmas operatoram ir tiesības izbeigt ar tirgotāju noslēgto sistēmas lietošanas līgumu. Līguma izbeigšanas gadījumā sadales sistēmas operators atkārtoti informē lietotājus par nepieciešamību mainīt tirgotāju, kā arī laiku, no kura ir uzsākta elektroenerģijas piegāde pēdējās garantētās piegādes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175.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Objektā, kurā ir uzstādīts viedais elektroenerģijas komercuzskaites mēraparāts, kura funkcionalitāte neļauj veikt elektroenerģijas uzskaiti atbilstoši šo noteikumu 12.</w:t>
      </w:r>
      <w:r w:rsidR="00000000" w:rsidRPr="00000000" w:rsidDel="00000000">
        <w:rPr>
          <w:vertAlign w:val="superscript"/>
          <w:rtl w:val="0"/>
        </w:rPr>
        <w:t xml:space="preserve">2</w:t>
      </w:r>
      <w:r w:rsidR="00000000" w:rsidRPr="00000000" w:rsidDel="00000000">
        <w:rPr>
          <w:rtl w:val="0"/>
        </w:rPr>
        <w:t xml:space="preserve"> punktā minētajam tirdzniecības intervālam, tirdzniecības intervāls tiek aprēķināts pēc tipveida slodžu grafika, bet, ja tādu nav iespējams piemērot - aritmētiski, proporcionāli sadalot lietotāja patēriņu pa tirdzniecības intervāliem."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176.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 Tirgotāji pēc sadales sistēmas operatora pieprasījuma ne vēlāk kā trīs mēnešu laikā iesniedz sadales sistēmas operatoram šo noteikumu IX</w:t>
      </w:r>
      <w:r w:rsidR="00000000" w:rsidRPr="00000000" w:rsidDel="00000000">
        <w:rPr>
          <w:vertAlign w:val="superscript"/>
          <w:rtl w:val="0"/>
        </w:rPr>
        <w:t xml:space="preserve">1</w:t>
      </w:r>
      <w:r w:rsidR="00000000" w:rsidRPr="00000000" w:rsidDel="00000000">
        <w:rPr>
          <w:rtl w:val="0"/>
        </w:rPr>
        <w:t xml:space="preserve"> nodaļā minēto saistību izpildes nodrošinājumu."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177.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"177. Pārejas periodā - līdz brīdim, kad tirgotājs ir pirmreizēji iesniedzis šo noteikumu IX</w:t>
      </w:r>
      <w:r w:rsidR="00000000" w:rsidRPr="00000000" w:rsidDel="00000000">
        <w:rPr>
          <w:vertAlign w:val="superscript"/>
          <w:rtl w:val="0"/>
        </w:rPr>
        <w:t xml:space="preserve">1</w:t>
      </w:r>
      <w:r w:rsidR="00000000" w:rsidRPr="00000000" w:rsidDel="00000000">
        <w:rPr>
          <w:rtl w:val="0"/>
        </w:rPr>
        <w:t xml:space="preserve"> nodaļā minēto saistību izpildes nodrošinājumu, - ja sadales sistēmas operators šo noteikumu 87.1. apakšpunktā vai sistēmas lietošanas līgumā paredzētajā termiņā nesaņem no tirgotāja pilnu maksu par sistēmas pakalpojumiem vai citiem pakalpojumiem, tirgotājam pēc sadales sistēmas operatora pieprasījuma ir pienākums 10 darbdienu laikā sadales sistēmas operatora noteiktā kārtībā iesniegt šo noteikumu IX</w:t>
      </w:r>
      <w:r w:rsidR="00000000" w:rsidRPr="00000000" w:rsidDel="00000000">
        <w:rPr>
          <w:vertAlign w:val="superscript"/>
          <w:rtl w:val="0"/>
        </w:rPr>
        <w:t xml:space="preserve">1</w:t>
      </w:r>
      <w:r w:rsidR="00000000" w:rsidRPr="00000000" w:rsidDel="00000000">
        <w:rPr>
          <w:rtl w:val="0"/>
        </w:rPr>
        <w:t xml:space="preserve"> nodaļā minēto saistību izpildes nodrošinājumu."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informatīvo atsauci uz Eiropas Savienības direktīvām ar 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2024. gada 13. jūnija Direktīvas 2024/1711/ES, ar ko groza Direktīvas 2018/2001/ES un 2019/944/ES attiecībā uz Savienības elektroenerģijas tirgus modeļa uzlabošanu."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25-TA-649</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25-TA-649</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noteikumu_(grozījumu)_projekts_25-TA-649.docx</dc:title>
</cp:coreProperties>
</file>

<file path=docProps/custom.xml><?xml version="1.0" encoding="utf-8"?>
<Properties xmlns="http://schemas.openxmlformats.org/officeDocument/2006/custom-properties" xmlns:vt="http://schemas.openxmlformats.org/officeDocument/2006/docPropsVTypes"/>
</file>