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izdevumi 6 697 818 </w:t>
      </w:r>
      <w:r w:rsidR="00000000" w:rsidRPr="00000000" w:rsidDel="00000000">
        <w:rPr>
          <w:i w:val="1"/>
          <w:rtl w:val="0"/>
        </w:rPr>
        <w:t xml:space="preserve">euro</w:t>
      </w:r>
      <w:r w:rsidR="00000000" w:rsidRPr="00000000" w:rsidDel="00000000">
        <w:rPr>
          <w:rtl w:val="0"/>
        </w:rPr>
        <w:t xml:space="preserve"> apmērā, kas saskaņā ar šajā tiesību aktā paredzēto 2025. gadā pārdalāmi no budžeta resora "74. Gadskārtējā valsts budžeta izpildes procesā pārdalāmais finansējums" programmas 18.00.00 "Finansējums valsts drošības stiprināšanas pasākumiem", ir uzskatāmi par vienreizējo pasākumu likuma “Par valsts budžetu 2025. gadam un budžeta ietvaru 2025., 2026. un 2027. gadam” 5. panta 2. punkta izpratnē, kas tiek izslēgti no vispārējās valdības budžeta strukturālās bilances mērķa.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25-TA-744</w:t>
    </w:r>
    <w:r>
      <w:br/>
    </w:r>
    <w:r w:rsidR="00000000" w:rsidRPr="00000000" w:rsidDel="00000000">
      <w:rPr>
        <w:rtl w:val="0"/>
      </w:rPr>
      <w:t xml:space="preserve">Izdrukāts 29.07.2026. 23.46 - 2.0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mk_sēdes_protokollēmuma_projekts_25-TA-744.docx</dc:title>
</cp:coreProperties>
</file>

<file path=docProps/custom.xml><?xml version="1.0" encoding="utf-8"?>
<Properties xmlns="http://schemas.openxmlformats.org/officeDocument/2006/custom-properties" xmlns:vt="http://schemas.openxmlformats.org/officeDocument/2006/docPropsVTypes"/>
</file>