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jūlijā (prot. Nr. 30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 (Latvijas Vēstnesis, 2023, 230.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Projekta iesniedzējs pasākuma ietvaros ir valsts pārvaldes iestāde – Bērnu aizsardzības centrs, kas sniedz atbalstu bērnu aizsardzības jomā bērniem un Bērnu tiesību aizsardzības likuma 5. pantā minētajiem bērna tiesību aizsardzības subjektiem, kā arī uzrauga bērnu tiesību un interešu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Šo noteikumu 14.2.3. apakšpunktā minēto atbalstāmo darbību īstenošanas un maksājuma pieprasījumu sagatavošanas nolūkā finansējuma saņēmēja piesaistīts pakalpojuma sniedzējs veic:</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šo noteikumu 3.3. un 3.4. apakšpunktā minētās mērķa grupas personu atbilstības pārbaudi iesaistei šo noteikumu 25.3. apakšpunktā minētajās speciālistu konsultācijās, tostarp tādās, kuras nodrošina, izmantojot tiešsaistes videosaziņas servisu, un tematiska atbalsta grupās, kā arī veic minēto personu identificēšanu un uzskaiti, norādot vārdu, uzvārdu, personas kodu, elektroniskā pasta adresi, tālruni un citu personas datus nesaturošu informāciju, bet, ja konsultācijas un atbalsta grupas nodrošina klātienē, – arī faktiskās dzīves vietas adresi, un iesniedz finansējuma saņēmējam šo noteikumu 33.9.2. apakšpunktā  minētās personu atbilstības pēcpārbaudes veikšanai nepieciešamos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šo noteikumu 25.4. apakšpunktā minēto mentoru atbilstības pārbaudi iesaistei šo noteikumu 25.4. apakšpunktā minētajās mācībās, kā arī veic minēto personu identificēšanu un uzskaiti, norādot vārdu, uzvārdu, personas kodu, citu personas datus nesaturošu informāciju, un iesniedz finansējuma saņēmējam šo noteikumu 33.9.2. apakšpunktā  minētās personu atbilstības pēcpārbaudes veikšanai nepieciešamos datus."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24-TA-1306</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24-TA-1306</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noteikumu_(grozījumu)_projekts_24-TA-1306.docx</dc:title>
</cp:coreProperties>
</file>

<file path=docProps/custom.xml><?xml version="1.0" encoding="utf-8"?>
<Properties xmlns="http://schemas.openxmlformats.org/officeDocument/2006/custom-properties" xmlns:vt="http://schemas.openxmlformats.org/officeDocument/2006/docPropsVTypes"/>
</file>