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Ieroču aprites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Gadījumā, ja Ieroču reģistra izveidei netiek piesaistīts Eiropas Reģionālās attīstības fonda finansējums, jautājumu par papildu valsts budžeta līdzekļu piešķiršanu Iekšlietu ministrijai (Iekšlietu ministrijas Informācijas centram) izskatīt Ministru kabinetā likumprojekta “Par valsts budžetu 2025. gadam un budžeta ietvaru 2025., 2026 un 2027.gadam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22-TA-2909</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mk_sēdes_protokollēmuma_projekts_22-TA-2909.docx</dc:title>
</cp:coreProperties>
</file>

<file path=docProps/custom.xml><?xml version="1.0" encoding="utf-8"?>
<Properties xmlns="http://schemas.openxmlformats.org/officeDocument/2006/custom-properties" xmlns:vt="http://schemas.openxmlformats.org/officeDocument/2006/docPropsVTypes"/>
</file>