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pasākuma "Pasākumi atkarīgo personu resocializācijai un atgriešanai darba tirgū, kā arī preventīvie pasākumi jauniešiem"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4.1.2.3. pasākumu "Pasākumi atkarīgo personu resocializācijai un atgriešanai darba tirgū, kā arī preventīvie pasākumi jauniešiem"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(turpmāk – projekta iesniedzējs), finansējuma saņēmējam un projekta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atbildīgās iestādes funkcijas pilda Veselības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 iesniegumu atlasi organizē vienu reizi par visu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mērķis un plānotie rādītāji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mērķis ir veikt pētījumus, lai gūtos rezultātus izmantotu azartspēļu jomas normatīvo aktu pilnveidošanai, kas personām mazinātu azartspēļu atkarības iestāšanās risku un ar to saistītās sekas.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mērķa grupa ir visi Latvijas iedzīvotāji, kuru azartspēļu spēlēšanas paradumi var paaugstināt azartspēļu atkarības iestāšanās risku, un personas, kurām jau ir iestājušās sekas no pārmērīgas azartspēļu spēlēšanas.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iznākuma rādītājs ir nacionāla, reģionāla vai vietēja mēroga valsts administrācijas vai sabiedrisko pakalpojumu iestāžu un pakalpojumu skaits, kas saņēmušas atbalstu, līdz 2029. gada 31. decembrim nodrošinot, ka atbalstu būs saņēmusi vismaz viena iestāde.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Specifiskā atbalsta mērķa rezultāta rādītājs ir iedzīvotāju skaits, kuri pēdējā gada laikā veselības apsvērumu dēļ Eiropas Sociālā fonda Plus rīkoto pasākumu ietekmē ir mainījuši uztura un citus dzīvesveida paradumus, nodrošinot, ka līdz 2029. gada 31. decembrim sasniegta rādītāja vērtība – 50 000 iedzīvotāju.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Pasākuma finansējums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Pasākumam plānotais un pieejamais kopējais attiecināmais finansējums ir 1 131 000 </w:t>
      </w:r>
      <w:r w:rsidR="00000000" w:rsidRPr="00000000" w:rsidDel="00000000">
        <w:rPr>
          <w:i w:val="1"/>
          <w:rtl w:val="0"/>
        </w:rPr>
        <w:t xml:space="preserve">euro</w:t>
      </w:r>
      <w:r w:rsidR="00000000" w:rsidRPr="00000000" w:rsidDel="00000000">
        <w:rPr>
          <w:rtl w:val="0"/>
        </w:rPr>
        <w:t xml:space="preserve">, tai skaitā Eiropas Sociālā fonda Plus finansējums – 961 350 </w:t>
      </w:r>
      <w:r w:rsidR="00000000" w:rsidRPr="00000000" w:rsidDel="00000000">
        <w:rPr>
          <w:i w:val="1"/>
          <w:rtl w:val="0"/>
        </w:rPr>
        <w:t xml:space="preserve">euro</w:t>
      </w:r>
      <w:r w:rsidR="00000000" w:rsidRPr="00000000" w:rsidDel="00000000">
        <w:rPr>
          <w:rtl w:val="0"/>
        </w:rPr>
        <w:t xml:space="preserve"> un valsts budžeta līdzfinansējums – 169 650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Eiropas Sociālā fonda Plus finansējums pasākumam nepārsniedz 85 procentus no kopējā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pēc tam, kad noslēgta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projekta iesniedzējam, finansējuma saņēmējam, sadarbības partnerim un projekta vērtēšanai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ietvaros ir Finanšu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sagatavo projekta iesniegumu atbilstoši projekta iesniegumu atlases nolikumam un iesniedz to sadarbības iestādē, izmantojot Kohēzijas politikas fondu vadības informācijas sistēmu. Projekta iesniedzējs pēc projekta apstiprināšanas kļūst par finansējuma saņēmēju.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pasākuma īstenošanā var piesaistīt sadarbības partneri – Valsts ieņēmumu dienestu. Lai noteiktu finansējuma saņēmēja un sadarbības partnera (ja attiecināms) savstarpējo atbildību, funkcijas, finansēšanas mehānismu, pārskatu sniegšanas kārtību un pienākumus projekta sekmīgai īstenošanai, finansējuma saņēmējs līdz projekta īstenošanas uzsākšanas brīdim izstrādā iekšējo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veselības pētījumi (spēlētāju pazīmju definēšana, indicēto profilakšu programmas, azartspēļu ietekme uz videospēlēm, azartspēļu un izložu reklāmas ierobežojumu efektivitāte, motivācija iesaistīties nelicencētās azartspēlēs);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atbalstāmās darbības ietvaros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 piemērojot izmaksu vienoto likmi 20 procentu apmērā no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minētajām pārējām projekta tiešajām attiecināmajām īstenošanas izmaksām. Minētās atbalstāmās darbības ietvaros ir attiecināmas finansējuma saņēmēja projekta vadības personāla un īstenošanas personāla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izmaksas veido pārējās projekta tiešās attiecināmās īstenošanas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 atbalstāmā darbība ietver visas ar pētījumu īstenošanu saistītās izmaksas, kas radušās uz pakalpojuma līguma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kas ir tieši saistītas ar pasākuma īstenošanu un nepieciešamas pasākuma rezultātu sasniegšanai, un šī saistība ir skaidri saprotama un pierādāma;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 kas nav tieši saistītas ar pasākuma rezultātu sasniegšanu, bet atbalsta un nodrošina atbilstošus apstākļus pasākuma īstenošanai un pasākuma rezultātu sasniegšanai;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w:t>
      </w:r>
      <w:r w:rsidR="00000000" w:rsidRPr="00000000" w:rsidDel="00000000">
        <w:rPr>
          <w:rtl w:val="0"/>
        </w:rPr>
        <w:t xml:space="preserve"> apakšpunktā</w:t>
      </w:r>
      <w:r w:rsidR="00000000" w:rsidRPr="00000000" w:rsidDel="00000000">
        <w:rPr>
          <w:rtl w:val="0"/>
        </w:rPr>
        <w:t xml:space="preserve"> minētās atbalstāmās darbības ietvaros ir attiecināmas komunikācijas un vizuālās identitātes prasību nodrošināšanas izmaksas, lai izpildītu minētās prasības atbilstoši regulas 2021/1060 47. un 50. pantam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ir attiecināmas šo noteikumu 22.3. apakšpunktā minētās neparedzētās izmaksas līdz diviem procentiem no projekta kopējām tiešajām attiecināmajām izmaksām, ko projekta iesniegumā plāno kā vienu izmaksu pozīciju un izmanto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projekta pārējo tiešo attiecināmo īstenošanas papildu izmaksu segšanai, kas neparedzamu apstākļu dēļ ir kļuvušas nepieciešamas projekta īstenošanai. Neparedzētās izmaksas pirms izdevumu veikšanas finansējuma saņēmējs saskaņo ar sadarbības iestādi, kā to nosaka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atbalstāmo darbību īstenošanai ir attiecināmas projekta netiešās attiecināmās izmaksas, ko projekta iesniegumā plāno kā vienu izmaksu pozīciju, piemērojot netiešo izmaksu vienoto likmi septiņu procentu apmērā no tiešajām attiecināmajām izmaksām, kuras veido šo noteikumu 19. un  </w:t>
      </w:r>
      <w:r w:rsidR="00000000" w:rsidRPr="00000000" w:rsidDel="00000000">
        <w:rPr>
          <w:rtl w:val="0"/>
        </w:rPr>
        <w:t xml:space="preserve">20.</w:t>
      </w:r>
      <w:r w:rsidR="00000000" w:rsidRPr="00000000" w:rsidDel="00000000">
        <w:rPr>
          <w:rtl w:val="0"/>
        </w:rPr>
        <w:t xml:space="preserve"> punktā minētās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attiecināmās izmaksas saskaņā ar regulas  </w:t>
      </w:r>
      <w:r w:rsidR="00000000" w:rsidRPr="00000000" w:rsidDel="00000000">
        <w:rPr>
          <w:rtl w:val="0"/>
        </w:rPr>
        <w:t xml:space="preserve">2021/1060</w:t>
      </w:r>
      <w:r w:rsidR="00000000" w:rsidRPr="00000000" w:rsidDel="00000000">
        <w:rPr>
          <w:rtl w:val="0"/>
        </w:rPr>
        <w:t xml:space="preserve"> 64. panta 1. punkta "c" apakšpunktu.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Pasākuma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finansējuma saņēmējs izveido projekta vadības un uzraudzības darba grupu, kuras sastāvā pieaicina sadarbības partnera pārstāvjus, kā arī atbildīgās iestādes un sadarbības iestādes pārstāvi novērotāja statusā. Darba grupas sanāksmes tiek organizētas pēc nepieciešamības, bet ne retāk kā reizi gadā.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projektu, finansējuma saņēmējs nodrošina, ka atbalstāmo darbību īstenošanai nepieciešamie iepirkumi tiek veikti sociāli atbildīgi un atbilstoši Eiropas Savienības un Latvijas Republikas normatīvajiem aktiem iepirkumu jomā, īstenojot atklātu, pārredzamu, nediskriminējošu un konkurenci nodrošinošu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nodrošina, ka projektā plānotie darbi netiek finansēti vai līdzfinansēti un tos nav plānots finansēt vai līdzfinansēt no citiem valsts vai ārvalstu finanšu atbalsta instrumentiem, un novērš dubultā finansējuma risku.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un sadarbības partneris (ja attiecināms) pasākuma īstenošanas laikā nodrošina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61. panta un publisko iepirkumu regulējošo normatīvo aktu prasībām, kā arī paraksta interešu konflikta neesības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īsteno vismaz trīs vispārīgas un vismaz trīs specifiskas darbības, kā arī nodrošina datu uzkrāšanu un ziņošanu par vismaz vienu horizontālā principa "Vienlīdzība, iekļaušana, nediskriminācija un pamattiesību ievērošana" rādītāju – konsultatīva rakstura pasākumu skaits par dzimumu līdztiesības, personu ar invaliditāti vienlīdzīgu iespēju, vecuma nediskriminācijas, etniskās piederības un citiem pamattiesību jautājumiem, tostarp par tiesiskajiem un praktiskajiem aspektiem.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saņēmējam līdz projekta īstenošanas uzsākšanas brīdim ir izstrādāta iekšējās kontroles sistēma korupcijas un interešu konflikta riska novēršanai publiskas personas institūcijā atbilstoši normatīvajam regulējumam par iekšējās kontroles sistēmas pamatprasībām korupcijas un interešu konflikta riska novēršanai publiskas personas institūcijā.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kas noslēgta starp finansējuma saņēmēju un sadarbības iestādi, bet ne ilgāk kā līdz 2029.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25-TA-3088</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25-TA-3088</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noteikumu_konsolidētā_versija_25-TA-3088.docx</dc:title>
</cp:coreProperties>
</file>

<file path=docProps/custom.xml><?xml version="1.0" encoding="utf-8"?>
<Properties xmlns="http://schemas.openxmlformats.org/officeDocument/2006/custom-properties" xmlns:vt="http://schemas.openxmlformats.org/officeDocument/2006/docPropsVTypes"/>
</file>