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Attīstības finanšu institūcijas likuma</w:t>
      </w:r>
      <w:r w:rsidR="00000000" w:rsidRPr="00000000" w:rsidDel="00000000">
        <w:rPr>
          <w:rStyle w:val="paragraph"/>
          <w:i w:val="1"/>
          <w:rtl w:val="0"/>
        </w:rPr>
        <w:t xml:space="preserve"> 12. panta</w:t>
      </w:r>
      <w:r>
        <w:br/>
      </w:r>
      <w:r w:rsidR="00000000" w:rsidRPr="00000000" w:rsidDel="00000000">
        <w:rPr>
          <w:rStyle w:val="paragraph"/>
          <w:i w:val="1"/>
          <w:rtl w:val="0"/>
        </w:rPr>
        <w:t xml:space="preserve">ceturto daļu un Eiropas Savienības struktūrfondu</w:t>
      </w:r>
      <w:r>
        <w:br/>
      </w:r>
      <w:r w:rsidR="00000000" w:rsidRPr="00000000" w:rsidDel="00000000">
        <w:rPr>
          <w:rStyle w:val="paragraph"/>
          <w:i w:val="1"/>
          <w:rtl w:val="0"/>
        </w:rPr>
        <w:t xml:space="preserve">un Kohēzijas fonda 2014.–2020. gada plānošanas</w:t>
      </w:r>
      <w:r>
        <w:br/>
      </w:r>
      <w:r w:rsidR="00000000" w:rsidRPr="00000000" w:rsidDel="00000000">
        <w:rPr>
          <w:rStyle w:val="paragraph"/>
          <w:i w:val="1"/>
          <w:rtl w:val="0"/>
        </w:rPr>
        <w:t xml:space="preserve">perioda vadības likuma 20. panta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un kārtību, kādā īsteno 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Latvijā un ir tiesīga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13.1.1.1. pasākumam – ERAF finansējums 15 109 282 </w:t>
      </w:r>
      <w:r w:rsidR="00000000" w:rsidRPr="00000000" w:rsidDel="00000000">
        <w:rPr>
          <w:i w:val="1"/>
          <w:rtl w:val="0"/>
        </w:rPr>
        <w:t xml:space="preserve">euro</w:t>
      </w:r>
      <w:r w:rsidR="00000000" w:rsidRPr="00000000" w:rsidDel="00000000">
        <w:rPr>
          <w:rtl w:val="0"/>
        </w:rPr>
        <w:t xml:space="preserve"> un valsts budžeta virssaistību finansējums 2 890 719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gada ERAF piešķīrums 14 970 786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ERAF piešķīrums 138 496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2021. gada piešķīrumu –14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2022. gada piešķīrumu – 6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2021. gada piešķīrumu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2022. gada piešķīrumu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garantijas (konkursa, avansa maksājuma, maksājuma izpildes vai laika garantijas), banku garantiju limiti, kredītvēstule.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 finansējuma avotu.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minētajiem finanšu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tiek sniegts </w:t>
      </w:r>
      <w:r w:rsidR="00000000" w:rsidRPr="00000000" w:rsidDel="00000000">
        <w:rPr>
          <w:i w:val="1"/>
          <w:rtl w:val="0"/>
        </w:rPr>
        <w:t xml:space="preserve">de minimis</w:t>
      </w:r>
      <w:r w:rsidR="00000000" w:rsidRPr="00000000" w:rsidDel="00000000">
        <w:rPr>
          <w:rtl w:val="0"/>
        </w:rPr>
        <w:t xml:space="preserve"> atbalsts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w:t>
      </w:r>
      <w:r w:rsidR="00000000" w:rsidRPr="00000000" w:rsidDel="00000000">
        <w:rPr>
          <w:rtl w:val="0"/>
        </w:rPr>
        <w:t xml:space="preserve">1407/2013</w:t>
      </w:r>
      <w:r w:rsidR="00000000" w:rsidRPr="00000000" w:rsidDel="00000000">
        <w:rPr>
          <w:rtl w:val="0"/>
        </w:rPr>
        <w:t xml:space="preserve"> 2. panta 2. punkta definīcijai)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1407/2013 4. panta 6. punkta "c" apakšpunktu, – 5 000 000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sākotnējais termiņš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1407/2013 4. panta 6.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piemēro šo noteikumu 12.2.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1407/2013 4. panta 6. punkta "c" apakšpunktu un ja kredītiestāde ir iesniegusi sabiedrībā "Altum" garantijas pieteikumu termiņa pagarinājumam un saimnieciskās darbības veicēja aizpildītu apliecinājumu kredīta garantijai (sabiedrības "Altum" veidlapa), kā arī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1407/2013</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pirmās daļas "a", "b", "c", "d" un "e" apakšpunktā noteiktajām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 izņemot 68.1 grupu "Sava nekustama īpašuma pirkšana un pārdošana",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kravas autotransporta līdzekļu iegādei saimnieciskās darbības veicējiem,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izņemot gadījumus, ja šīs darbības rezultātā tiek nodrošināta saimnieciskās darbības veicēja attīstība vai darbības paplašināšana;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veicējam, 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1407/2013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aprēķina, piemērojot Komisijas regulas Nr. 1407/2013 4. panta 6. punkta "b" apakšpunkta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garantijas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2. panta 2. punktā noteiktajam vienam vienotam uzņēmumam izsniegtā </w:t>
      </w:r>
      <w:r w:rsidR="00000000" w:rsidRPr="00000000" w:rsidDel="00000000">
        <w:rPr>
          <w:i w:val="1"/>
          <w:rtl w:val="0"/>
        </w:rPr>
        <w:t xml:space="preserve">de minimis</w:t>
      </w:r>
      <w:r w:rsidR="00000000" w:rsidRPr="00000000" w:rsidDel="00000000">
        <w:rPr>
          <w:rtl w:val="0"/>
        </w:rPr>
        <w:t xml:space="preserve"> atbalsta kopējā summa nedrīkst pārsniegt Komisijas regulas Nr.  </w:t>
      </w:r>
      <w:r w:rsidR="00000000" w:rsidRPr="00000000" w:rsidDel="00000000">
        <w:rPr>
          <w:rtl w:val="0"/>
        </w:rPr>
        <w:t xml:space="preserve">1407/2013</w:t>
      </w:r>
      <w:r w:rsidR="00000000" w:rsidRPr="00000000" w:rsidDel="00000000">
        <w:rPr>
          <w:rtl w:val="0"/>
        </w:rPr>
        <w:t xml:space="preserve"> 3. panta 2. punktā noteiktos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saimnieciskās darbības veicējs vienlaikus darbojas vienā vai vairākās nozarēs vai veic citas darbības, kas neietilpst Komisijas regulas Nr.  </w:t>
      </w:r>
      <w:r w:rsidR="00000000" w:rsidRPr="00000000" w:rsidDel="00000000">
        <w:rPr>
          <w:rtl w:val="0"/>
        </w:rPr>
        <w:t xml:space="preserve">1407/2013</w:t>
      </w:r>
      <w:r w:rsidR="00000000" w:rsidRPr="00000000" w:rsidDel="00000000">
        <w:rPr>
          <w:rtl w:val="0"/>
        </w:rPr>
        <w:t xml:space="preserve"> darbības jomā, tas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1407/2013 6. panta 4. punktā minētos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1407/2013</w:t>
      </w:r>
      <w:r w:rsidR="00000000" w:rsidRPr="00000000" w:rsidDel="00000000">
        <w:rPr>
          <w:rtl w:val="0"/>
        </w:rPr>
        <w:t xml:space="preserve"> prasības, atbalsta saņēmējam ir pienākums atmaksāt sabiedrībai "Altum" visu projekta ietvaros saņemto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pārvaldības izdevumu segšanai, tai skaitā kapitāla atdeves segšanai, ievērojot atbilstoši Attīstības finanšu institūcijas likumam izstrādāto programmu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apakšpunktu, tiek iekļauti klientu maksājumos, t. i., prēmijās un komisijas maksās.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7.1. apakšpunktā minēto atmaksāto finansējumu 10 % apmērā gadā no sabiedrības "Altum" kapitāla, kas paredzēts šajos noteikumos minēto finanšu instrumentu kredītrisku, operacionālo risku un citu risku segšanai, ievērojot atbilstoši Attīstības finanšu institūcijas likumam izstrādāto programmu novērtējumu.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atbilstoši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 var pieņemt līdz Komisijas regulas Nr. 1407/2013 7. panta 4. punktā un 8. pantā noteiktajam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21-TA-601</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21-TA-601</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noteikumu_konsolidētā_versija_21-TA-601.docx</dc:title>
</cp:coreProperties>
</file>

<file path=docProps/custom.xml><?xml version="1.0" encoding="utf-8"?>
<Properties xmlns="http://schemas.openxmlformats.org/officeDocument/2006/custom-properties" xmlns:vt="http://schemas.openxmlformats.org/officeDocument/2006/docPropsVTypes"/>
</file>