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13. decembra noteikumos Nr. 949 "Noteikumi par augu aizsardzības līdzekļu laišanu tirgū"</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Augu aizsardzības likuma</w:t>
      </w:r>
      <w:r w:rsidR="00000000" w:rsidRPr="00000000" w:rsidDel="00000000">
        <w:rPr>
          <w:rStyle w:val="paragraph"/>
          <w:i w:val="1"/>
          <w:rtl w:val="0"/>
        </w:rPr>
        <w:t xml:space="preserve"> 5.panta 23.punktu un 9.panta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13. decembra noteikumos Nr. 949 "Noteikumi par augu aizsardzības līdzekļu laišanu tirgū" (Latvijas Vēstnesis, 2011, 202. nr.; 2016, 194.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Speciālās atļaujas (licences) īpašnieks septiņu darba dienu laikā pēc AAL ievešanas Latvijā Kultūraugu uzraudzības valsts informācijas sistēmā (turpmāk – informācijas sistēma) iesniedz informāciju par augu aizsardzības līdzekli, tajā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ievešanas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partijas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ražošanas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iepakojuma lielumu;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ievesto apjomu."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Reģistrācijas apliecības īpašnieks vai viņa pārstāvis drīkst ievest un izplatīt augu aizsardzības līdzekļus, kas sākotnēji ražots citai Eiropas Savienības dalībvalstij, ja tas ir identisks augu aizsardzības līdzeklis, kas reģistrēts Latvijas augu aizsardzības līdzekļu reģistrā, un uz tā iepakojuma ir uzlīmēts ražotāja marķējums latviešu valodā, vienlaikus saglabājot redzamu oriģinālā marķējuma daļu ar ražošanas datumu un partijas numuru. Augu aizsardzības līdzekļu reģistrācijas apliecības īpašnieks atbild par izplatāmā augu aizsardzības līdzekļa kvalitāti, izcelsmi, kā arī par to, lai tas pēc sastāva būtu identisks augu aizsardzības līdzeklis, kas reģistrēts Latvijas augu aizsardzības līdzekļu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Licences īpašnieks šo noteikumu 14.5. apakšpunktā minētā lēmuma pieņemšanai iesniedz dienestā iesniegumu, kam pievienoti akreditētas laboratorijas (standarts </w:t>
      </w:r>
      <w:r w:rsidR="00000000" w:rsidRPr="00000000" w:rsidDel="00000000">
        <w:rPr>
          <w:i w:val="1"/>
          <w:rtl w:val="0"/>
        </w:rPr>
        <w:t xml:space="preserve">ISO/IEC</w:t>
      </w:r>
      <w:r w:rsidR="00000000" w:rsidRPr="00000000" w:rsidDel="00000000">
        <w:rPr>
          <w:rtl w:val="0"/>
        </w:rPr>
        <w:t xml:space="preserve"> 17025) augu aizsardzības līdzekļa parauga analīžu rezultāti."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Augu aizsardzības līdzekļu tirdzniecības vietā ir aizliegta pārtikas, lopbarības, mājdzīvnieku barības un medikamentu tirdzniecība, ja vien augu aizsardzības līdzekļi nav izvietoti atsevišķā telpā."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Tirdzniecībai paredzētos ķīmiskos augu aizsardzības līdzekļus izvieto atsevišķi no citām precēm slēgtā skapī vai plauktā."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Speciālās atļaujas (licences) īpašnieks informācijas sistēmā ne retāk kā reizi mēnesī iesniedz datus par profesionāliem lietotājiem vai licencētām vietām izplatītiem pirmās, otrās vai trešās reģistrācijas klases augu aizsardzības līdzekļiem, norādot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pārdošanas datumu, pavaddokumenta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augu aizsardzības līdzekļa nosaukumu, iepakojuma lielumu, iepakojumu skaitu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konkrētā pircēja vārdu, uzvārdu, personas kodu vai juridiskās personas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apliecības numuru, kas dod tiesības iegādāties un lietot augu aizsardzības līdzekli, vai speciālās atļaujas (licences)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Speciālās atļaujas (licences) īpašnieks vismaz reizi gadā ne vēlāk kā līdz kārtējā gada 1. aprīlim informācijas sistēmā iesniedz šo noteikumu 31.2. apakšpunktā minēto informāciju par iepriekšējā kalendāra gada laikā individuālajiem neprofesionālajiem augu aizsardzības līdzekļu lietotājiem izplatītajiem 3. reģistrācijas klases augu aizsardzības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Šo noteikumu 31. un 32. punktā minēto informāciju speciālās atļaujas (licences) īpašnieks dienestam iesniedz, izmantojot mašīnlasāma formāta veidlapu vai augšupielādējot to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Uzglabāšanas vietā aizliegts glabāt pārtikas produktus, lopbarību, mājdzīvnieku barību un medikamentus."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Ja uzglabāšanas vietā kopā ar augu aizsardzības līdzekļiem tiek glabātas citas preces, ķīmiskos augu aizsardzības līdzekļus norobežo no pārējām precēm vai izvieto tos skapjos, nodrošinot ventilāciju."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Noteikumu 4., 31., 32. un 32.</w:t>
      </w:r>
      <w:r w:rsidR="00000000" w:rsidRPr="00000000" w:rsidDel="00000000">
        <w:rPr>
          <w:vertAlign w:val="superscript"/>
          <w:rtl w:val="0"/>
        </w:rPr>
        <w:t xml:space="preserve">1</w:t>
      </w:r>
      <w:r w:rsidR="00000000" w:rsidRPr="00000000" w:rsidDel="00000000">
        <w:rPr>
          <w:rtl w:val="0"/>
        </w:rPr>
        <w:t xml:space="preserve"> punkts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26-TA-769</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26-TA-769</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noteikumu_(grozījumu)_projekts_26-TA-769.docx</dc:title>
</cp:coreProperties>
</file>

<file path=docProps/custom.xml><?xml version="1.0" encoding="utf-8"?>
<Properties xmlns="http://schemas.openxmlformats.org/officeDocument/2006/custom-properties" xmlns:vt="http://schemas.openxmlformats.org/officeDocument/2006/docPropsVTypes"/>
</file>